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4649"/>
      </w:tblGrid>
      <w:tr w:rsidR="002955DD" w:rsidRPr="00D0180E" w14:paraId="1E7EAA82" w14:textId="7C1ED546" w:rsidTr="00F867DE">
        <w:tc>
          <w:tcPr>
            <w:tcW w:w="4711" w:type="dxa"/>
          </w:tcPr>
          <w:p w14:paraId="07B3F9B1" w14:textId="77777777" w:rsidR="002955DD" w:rsidRPr="00837D4A" w:rsidRDefault="002955DD" w:rsidP="002955DD">
            <w:pPr>
              <w:pStyle w:val="CABEZA"/>
              <w:rPr>
                <w:rFonts w:ascii="Verdana" w:hAnsi="Verdana" w:cs="Times New Roman"/>
                <w:sz w:val="16"/>
                <w:szCs w:val="16"/>
              </w:rPr>
            </w:pPr>
            <w:r w:rsidRPr="00837D4A">
              <w:rPr>
                <w:rFonts w:ascii="Verdana" w:hAnsi="Verdana" w:cs="Times New Roman"/>
                <w:sz w:val="16"/>
                <w:szCs w:val="16"/>
              </w:rPr>
              <w:t>PODER EJECUTIVO</w:t>
            </w:r>
          </w:p>
        </w:tc>
        <w:tc>
          <w:tcPr>
            <w:tcW w:w="4649" w:type="dxa"/>
          </w:tcPr>
          <w:p w14:paraId="45E8E261" w14:textId="5EB6500B" w:rsidR="002955DD" w:rsidRPr="00837D4A" w:rsidRDefault="002955DD" w:rsidP="002955DD">
            <w:pPr>
              <w:pStyle w:val="CABEZA"/>
              <w:rPr>
                <w:rFonts w:ascii="Verdana" w:hAnsi="Verdana" w:cs="Times New Roman"/>
                <w:sz w:val="16"/>
                <w:szCs w:val="16"/>
                <w:lang w:val="en-US"/>
              </w:rPr>
            </w:pPr>
            <w:r w:rsidRPr="00837D4A">
              <w:rPr>
                <w:rFonts w:ascii="Verdana" w:hAnsi="Verdana" w:cs="Times New Roman"/>
                <w:sz w:val="16"/>
                <w:szCs w:val="16"/>
              </w:rPr>
              <w:t>EXECUTIVE POWER</w:t>
            </w:r>
          </w:p>
        </w:tc>
      </w:tr>
      <w:tr w:rsidR="002955DD" w:rsidRPr="00D0180E" w14:paraId="0A201E5B" w14:textId="12417823" w:rsidTr="00F867DE">
        <w:tc>
          <w:tcPr>
            <w:tcW w:w="4711" w:type="dxa"/>
          </w:tcPr>
          <w:p w14:paraId="7C600155" w14:textId="77777777" w:rsidR="002955DD" w:rsidRPr="00837D4A" w:rsidRDefault="002955DD" w:rsidP="002955DD">
            <w:pPr>
              <w:pStyle w:val="CABEZA"/>
              <w:rPr>
                <w:rFonts w:ascii="Verdana" w:hAnsi="Verdana"/>
                <w:sz w:val="16"/>
                <w:szCs w:val="16"/>
              </w:rPr>
            </w:pPr>
            <w:r w:rsidRPr="00837D4A">
              <w:rPr>
                <w:rFonts w:ascii="Verdana" w:hAnsi="Verdana"/>
                <w:sz w:val="16"/>
                <w:szCs w:val="16"/>
              </w:rPr>
              <w:t>PRESIDENCIA DE LA REPUBLICA</w:t>
            </w:r>
          </w:p>
        </w:tc>
        <w:tc>
          <w:tcPr>
            <w:tcW w:w="4649" w:type="dxa"/>
          </w:tcPr>
          <w:p w14:paraId="74AA8278" w14:textId="1329972E" w:rsidR="002955DD" w:rsidRPr="00837D4A" w:rsidRDefault="002955DD" w:rsidP="002955DD">
            <w:pPr>
              <w:pStyle w:val="CABEZA"/>
              <w:rPr>
                <w:rFonts w:ascii="Verdana" w:hAnsi="Verdana"/>
                <w:sz w:val="16"/>
                <w:szCs w:val="16"/>
                <w:lang w:val="en-US"/>
              </w:rPr>
            </w:pPr>
            <w:r w:rsidRPr="00837D4A">
              <w:rPr>
                <w:rFonts w:ascii="Verdana" w:hAnsi="Verdana"/>
                <w:sz w:val="16"/>
                <w:szCs w:val="16"/>
              </w:rPr>
              <w:t>PRESIDENCY OF THE REPUBLIC</w:t>
            </w:r>
          </w:p>
        </w:tc>
      </w:tr>
      <w:tr w:rsidR="002955DD" w:rsidRPr="002955DD" w14:paraId="68A31C21" w14:textId="4C5C38CB" w:rsidTr="00F867DE">
        <w:trPr>
          <w:trHeight w:val="594"/>
        </w:trPr>
        <w:tc>
          <w:tcPr>
            <w:tcW w:w="4711" w:type="dxa"/>
          </w:tcPr>
          <w:p w14:paraId="0D3941EF" w14:textId="77777777" w:rsidR="002955DD" w:rsidRPr="00837D4A" w:rsidRDefault="002955DD" w:rsidP="002955DD">
            <w:pPr>
              <w:pStyle w:val="Titulo1"/>
              <w:pBdr>
                <w:bottom w:val="none" w:sz="0" w:space="0" w:color="auto"/>
              </w:pBdr>
              <w:rPr>
                <w:rFonts w:ascii="Verdana" w:hAnsi="Verdana" w:cs="Times New Roman"/>
                <w:sz w:val="16"/>
                <w:szCs w:val="16"/>
              </w:rPr>
            </w:pPr>
            <w:bookmarkStart w:id="0" w:name="N_GoBack"/>
            <w:bookmarkEnd w:id="0"/>
            <w:r w:rsidRPr="00837D4A">
              <w:rPr>
                <w:rFonts w:ascii="Verdana" w:hAnsi="Verdana" w:cs="Times New Roman"/>
                <w:sz w:val="16"/>
                <w:szCs w:val="16"/>
              </w:rPr>
              <w:t>DECRETO por el que se expide el Reglamento de la Ley del Sector Hidrocarburos.</w:t>
            </w:r>
          </w:p>
        </w:tc>
        <w:tc>
          <w:tcPr>
            <w:tcW w:w="4649" w:type="dxa"/>
          </w:tcPr>
          <w:p w14:paraId="08FB9FB0" w14:textId="0ED59A3B" w:rsidR="002955DD" w:rsidRPr="00837D4A" w:rsidRDefault="002955DD" w:rsidP="002955DD">
            <w:pPr>
              <w:pStyle w:val="Titulo1"/>
              <w:pBdr>
                <w:bottom w:val="none" w:sz="0" w:space="0" w:color="auto"/>
              </w:pBdr>
              <w:rPr>
                <w:rFonts w:ascii="Verdana" w:hAnsi="Verdana" w:cs="Times New Roman"/>
                <w:sz w:val="16"/>
                <w:szCs w:val="16"/>
                <w:lang w:val="en-US"/>
              </w:rPr>
            </w:pPr>
            <w:r w:rsidRPr="00837D4A">
              <w:rPr>
                <w:rFonts w:ascii="Verdana" w:hAnsi="Verdana" w:cs="Times New Roman"/>
                <w:sz w:val="16"/>
                <w:szCs w:val="16"/>
                <w:lang w:val="en-US"/>
              </w:rPr>
              <w:t xml:space="preserve">DECREE </w:t>
            </w:r>
            <w:r w:rsidR="006F3F8C" w:rsidRPr="00837D4A">
              <w:rPr>
                <w:rFonts w:ascii="Verdana" w:hAnsi="Verdana" w:cs="Times New Roman"/>
                <w:sz w:val="16"/>
                <w:szCs w:val="16"/>
                <w:lang w:val="en-US"/>
              </w:rPr>
              <w:t>by which is issued the Regulation</w:t>
            </w:r>
            <w:r w:rsidRPr="00837D4A">
              <w:rPr>
                <w:rFonts w:ascii="Verdana" w:hAnsi="Verdana" w:cs="Times New Roman"/>
                <w:sz w:val="16"/>
                <w:szCs w:val="16"/>
                <w:lang w:val="en-US"/>
              </w:rPr>
              <w:t xml:space="preserve"> of the </w:t>
            </w:r>
            <w:r w:rsidR="006756E8" w:rsidRPr="00837D4A">
              <w:rPr>
                <w:rFonts w:ascii="Verdana" w:hAnsi="Verdana" w:cs="Times New Roman"/>
                <w:sz w:val="16"/>
                <w:szCs w:val="16"/>
                <w:lang w:val="en-US"/>
              </w:rPr>
              <w:t>Law of the Hydrocarbons Sector</w:t>
            </w:r>
            <w:r w:rsidRPr="00837D4A">
              <w:rPr>
                <w:rFonts w:ascii="Verdana" w:hAnsi="Verdana" w:cs="Times New Roman"/>
                <w:sz w:val="16"/>
                <w:szCs w:val="16"/>
                <w:lang w:val="en-US"/>
              </w:rPr>
              <w:t>.</w:t>
            </w:r>
            <w:r w:rsidR="00412750" w:rsidRPr="00837D4A">
              <w:rPr>
                <w:rFonts w:ascii="Verdana" w:hAnsi="Verdana" w:cs="Times New Roman"/>
                <w:sz w:val="16"/>
                <w:szCs w:val="16"/>
                <w:lang w:val="en-US"/>
              </w:rPr>
              <w:t xml:space="preserve"> </w:t>
            </w:r>
          </w:p>
        </w:tc>
      </w:tr>
      <w:tr w:rsidR="002955DD" w:rsidRPr="002C0F16" w14:paraId="0DF800E1" w14:textId="3829D18B" w:rsidTr="00F867DE">
        <w:tc>
          <w:tcPr>
            <w:tcW w:w="4711" w:type="dxa"/>
          </w:tcPr>
          <w:p w14:paraId="547B0191" w14:textId="77777777" w:rsidR="002955DD" w:rsidRPr="00837D4A" w:rsidRDefault="002955DD" w:rsidP="002955DD">
            <w:pPr>
              <w:pStyle w:val="Titulo2"/>
              <w:pBdr>
                <w:top w:val="none" w:sz="0" w:space="0" w:color="auto"/>
              </w:pBdr>
              <w:rPr>
                <w:rFonts w:ascii="Verdana" w:hAnsi="Verdana"/>
                <w:sz w:val="16"/>
                <w:szCs w:val="16"/>
              </w:rPr>
            </w:pPr>
            <w:r w:rsidRPr="00837D4A">
              <w:rPr>
                <w:rFonts w:ascii="Verdana" w:hAnsi="Verdana"/>
                <w:sz w:val="16"/>
                <w:szCs w:val="16"/>
              </w:rPr>
              <w:t>Al margen un sello con el Escudo Nacional, que dice: Estados Unidos Mexicanos.- Presidencia de la República.</w:t>
            </w:r>
          </w:p>
        </w:tc>
        <w:tc>
          <w:tcPr>
            <w:tcW w:w="4649" w:type="dxa"/>
          </w:tcPr>
          <w:p w14:paraId="37589A96" w14:textId="6D5F6763" w:rsidR="002955DD" w:rsidRPr="00837D4A" w:rsidRDefault="000513DC" w:rsidP="002955DD">
            <w:pPr>
              <w:pStyle w:val="Titulo2"/>
              <w:pBdr>
                <w:top w:val="none" w:sz="0" w:space="0" w:color="auto"/>
              </w:pBdr>
              <w:rPr>
                <w:rFonts w:ascii="Verdana" w:hAnsi="Verdana"/>
                <w:sz w:val="16"/>
                <w:szCs w:val="16"/>
                <w:lang w:val="en-US"/>
              </w:rPr>
            </w:pPr>
            <w:r w:rsidRPr="00837D4A">
              <w:rPr>
                <w:rFonts w:ascii="Verdana" w:hAnsi="Verdana"/>
                <w:sz w:val="16"/>
                <w:szCs w:val="16"/>
                <w:lang w:val="en-US"/>
              </w:rPr>
              <w:t xml:space="preserve">In the margin a stamp with the National Seal, which reads: United Mexican States. - Presidency of the Republic. </w:t>
            </w:r>
          </w:p>
        </w:tc>
      </w:tr>
      <w:tr w:rsidR="002955DD" w:rsidRPr="002C0F16" w14:paraId="6EAE6D19" w14:textId="5D2F4535" w:rsidTr="00F867DE">
        <w:tc>
          <w:tcPr>
            <w:tcW w:w="4711" w:type="dxa"/>
          </w:tcPr>
          <w:p w14:paraId="7E466C1C" w14:textId="77777777" w:rsidR="002955DD" w:rsidRPr="00837D4A" w:rsidRDefault="002955DD" w:rsidP="002955DD">
            <w:pPr>
              <w:pStyle w:val="Texto"/>
              <w:spacing w:line="224" w:lineRule="exact"/>
              <w:ind w:firstLine="0"/>
              <w:rPr>
                <w:rFonts w:ascii="Verdana" w:hAnsi="Verdana"/>
                <w:sz w:val="16"/>
                <w:szCs w:val="16"/>
              </w:rPr>
            </w:pPr>
            <w:r w:rsidRPr="00837D4A">
              <w:rPr>
                <w:rFonts w:ascii="Verdana" w:hAnsi="Verdana"/>
                <w:b/>
                <w:sz w:val="16"/>
                <w:szCs w:val="16"/>
              </w:rPr>
              <w:t>CLAUDIA SHEINBAUM PARDO,</w:t>
            </w:r>
            <w:r w:rsidRPr="00837D4A">
              <w:rPr>
                <w:rFonts w:ascii="Verdana" w:hAnsi="Verdana"/>
                <w:sz w:val="16"/>
                <w:szCs w:val="16"/>
              </w:rPr>
              <w:t xml:space="preserve"> Presidenta de los Estados Unidos Mexicanos, en ejercicio de la facultad que me confiere el artículo 89, fracción I, de la Constitución Política de los Estados Unidos Mexicanos, y con fundamento en los artículos 31, 33 y 34 de la Ley Orgánica de la Administración Pública Federal, y 1, 2, 3, 25, 27, 46, 49, 50, 56, 64, 76, 80, 81, 82, 83, 84, 89, 120, 133, 136, 145, 148, 152, 153, 154 y 155 y demás aplicables de la Ley del Sector Hidrocarburos, he tenido a bien expedir el siguiente</w:t>
            </w:r>
          </w:p>
        </w:tc>
        <w:tc>
          <w:tcPr>
            <w:tcW w:w="4649" w:type="dxa"/>
          </w:tcPr>
          <w:p w14:paraId="797EDE7D" w14:textId="16C62EC4" w:rsidR="002955DD" w:rsidRPr="00837D4A" w:rsidRDefault="002955DD" w:rsidP="002955DD">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CLAUDIA SHEINBAUM PARDO, </w:t>
            </w:r>
            <w:r w:rsidRPr="00837D4A">
              <w:rPr>
                <w:rFonts w:ascii="Verdana" w:hAnsi="Verdana"/>
                <w:sz w:val="16"/>
                <w:szCs w:val="16"/>
                <w:lang w:val="en-US"/>
              </w:rPr>
              <w:t>President of the United Mexican States, exercising the power conferred upon me by Article 89, Section I, of the Political Constitution of the United Mexican States, and based on Articles 31, 33 and 34 of the Organic Law of the Federal Public Administration, and</w:t>
            </w:r>
            <w:r w:rsidR="005F6D66" w:rsidRPr="00837D4A">
              <w:rPr>
                <w:rFonts w:ascii="Verdana" w:hAnsi="Verdana"/>
                <w:sz w:val="16"/>
                <w:szCs w:val="16"/>
                <w:lang w:val="en-US"/>
              </w:rPr>
              <w:t xml:space="preserve"> articles</w:t>
            </w:r>
            <w:r w:rsidRPr="00837D4A">
              <w:rPr>
                <w:rFonts w:ascii="Verdana" w:hAnsi="Verdana"/>
                <w:sz w:val="16"/>
                <w:szCs w:val="16"/>
                <w:lang w:val="en-US"/>
              </w:rPr>
              <w:t xml:space="preserve"> 1, 2, 3, 25, 27, 46, 49, 50, 56, 64, 76, 80, 81, 82, 83, 84, 89, 120, 133, 136, 145, 148, 152, 153, 154 and 155 and other applicable articles of the </w:t>
            </w:r>
            <w:r w:rsidR="006756E8" w:rsidRPr="00837D4A">
              <w:rPr>
                <w:rFonts w:ascii="Verdana" w:hAnsi="Verdana"/>
                <w:sz w:val="16"/>
                <w:szCs w:val="16"/>
                <w:lang w:val="en-US"/>
              </w:rPr>
              <w:t>Law of the Hydrocarbons Sector</w:t>
            </w:r>
            <w:r w:rsidRPr="00837D4A">
              <w:rPr>
                <w:rFonts w:ascii="Verdana" w:hAnsi="Verdana"/>
                <w:sz w:val="16"/>
                <w:szCs w:val="16"/>
                <w:lang w:val="en-US"/>
              </w:rPr>
              <w:t>, I have seen fit to issue the following</w:t>
            </w:r>
          </w:p>
        </w:tc>
      </w:tr>
      <w:tr w:rsidR="002955DD" w:rsidRPr="002C0F16" w14:paraId="6B3ECDEC" w14:textId="132A5241" w:rsidTr="00F867DE">
        <w:tc>
          <w:tcPr>
            <w:tcW w:w="4711" w:type="dxa"/>
          </w:tcPr>
          <w:p w14:paraId="349C4CE5" w14:textId="77777777" w:rsidR="002955DD" w:rsidRPr="00837D4A" w:rsidRDefault="002955DD" w:rsidP="002955DD">
            <w:pPr>
              <w:pStyle w:val="Texto"/>
              <w:spacing w:line="224" w:lineRule="exact"/>
              <w:ind w:firstLine="0"/>
              <w:rPr>
                <w:rFonts w:ascii="Verdana" w:hAnsi="Verdana"/>
                <w:b/>
                <w:sz w:val="16"/>
                <w:szCs w:val="16"/>
              </w:rPr>
            </w:pPr>
            <w:r w:rsidRPr="00837D4A">
              <w:rPr>
                <w:rFonts w:ascii="Verdana" w:hAnsi="Verdana"/>
                <w:b/>
                <w:sz w:val="16"/>
                <w:szCs w:val="16"/>
              </w:rPr>
              <w:t>DECRETO POR EL QUE SE EXPIDE EL REGLAMENTO DE LA LEY DEL SECTOR HIDROCARBUROS</w:t>
            </w:r>
          </w:p>
        </w:tc>
        <w:tc>
          <w:tcPr>
            <w:tcW w:w="4649" w:type="dxa"/>
          </w:tcPr>
          <w:p w14:paraId="59A2505E" w14:textId="230755FF" w:rsidR="002955DD" w:rsidRPr="00837D4A" w:rsidRDefault="006D4B3C" w:rsidP="002955DD">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DECREE BY WHICH IS ISSUED THE REGULATION OF THE LAW OF THE HYDROCARBONS SECTOR </w:t>
            </w:r>
          </w:p>
        </w:tc>
      </w:tr>
      <w:tr w:rsidR="002955DD" w:rsidRPr="001C67B7" w14:paraId="2B55C83F" w14:textId="42F20E4D" w:rsidTr="00F867DE">
        <w:tc>
          <w:tcPr>
            <w:tcW w:w="4711" w:type="dxa"/>
          </w:tcPr>
          <w:p w14:paraId="636EC3AE" w14:textId="77777777" w:rsidR="002955DD" w:rsidRPr="00837D4A" w:rsidRDefault="002955DD" w:rsidP="002955DD">
            <w:pPr>
              <w:pStyle w:val="Texto"/>
              <w:spacing w:line="224" w:lineRule="exact"/>
              <w:ind w:firstLine="0"/>
              <w:rPr>
                <w:rFonts w:ascii="Verdana" w:hAnsi="Verdana"/>
                <w:sz w:val="16"/>
                <w:szCs w:val="16"/>
              </w:rPr>
            </w:pPr>
            <w:r w:rsidRPr="00837D4A">
              <w:rPr>
                <w:rFonts w:ascii="Verdana" w:hAnsi="Verdana"/>
                <w:b/>
                <w:sz w:val="16"/>
                <w:szCs w:val="16"/>
              </w:rPr>
              <w:t>ARTÍCULO ÚNICO.</w:t>
            </w:r>
            <w:r w:rsidRPr="00837D4A">
              <w:rPr>
                <w:rFonts w:ascii="Verdana" w:hAnsi="Verdana"/>
                <w:sz w:val="16"/>
                <w:szCs w:val="16"/>
              </w:rPr>
              <w:t xml:space="preserve"> Se expide el Reglamento de la Ley del Sector Hidrocarburos, para quedar  como sigue:</w:t>
            </w:r>
          </w:p>
        </w:tc>
        <w:tc>
          <w:tcPr>
            <w:tcW w:w="4649" w:type="dxa"/>
          </w:tcPr>
          <w:p w14:paraId="5B1B65E1" w14:textId="0B84D09B" w:rsidR="002955DD" w:rsidRPr="00837D4A" w:rsidRDefault="002955DD" w:rsidP="002955DD">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SOLE ARTICLE. </w:t>
            </w:r>
            <w:r w:rsidRPr="00837D4A">
              <w:rPr>
                <w:rFonts w:ascii="Verdana" w:hAnsi="Verdana"/>
                <w:sz w:val="16"/>
                <w:szCs w:val="16"/>
                <w:lang w:val="en-US"/>
              </w:rPr>
              <w:t xml:space="preserve">The </w:t>
            </w:r>
            <w:r w:rsidR="005F6D66" w:rsidRPr="00837D4A">
              <w:rPr>
                <w:rFonts w:ascii="Verdana" w:hAnsi="Verdana"/>
                <w:sz w:val="16"/>
                <w:szCs w:val="16"/>
                <w:lang w:val="en-US"/>
              </w:rPr>
              <w:t>Regulation</w:t>
            </w:r>
            <w:r w:rsidRPr="00837D4A">
              <w:rPr>
                <w:rFonts w:ascii="Verdana" w:hAnsi="Verdana"/>
                <w:sz w:val="16"/>
                <w:szCs w:val="16"/>
                <w:lang w:val="en-US"/>
              </w:rPr>
              <w:t xml:space="preserve"> of the </w:t>
            </w:r>
            <w:r w:rsidR="006756E8" w:rsidRPr="00837D4A">
              <w:rPr>
                <w:rFonts w:ascii="Verdana" w:hAnsi="Verdana"/>
                <w:sz w:val="16"/>
                <w:szCs w:val="16"/>
                <w:lang w:val="en-US"/>
              </w:rPr>
              <w:t>Law of the Hydrocarbons Sector</w:t>
            </w:r>
            <w:r w:rsidRPr="00837D4A">
              <w:rPr>
                <w:rFonts w:ascii="Verdana" w:hAnsi="Verdana"/>
                <w:sz w:val="16"/>
                <w:szCs w:val="16"/>
                <w:lang w:val="en-US"/>
              </w:rPr>
              <w:t xml:space="preserve"> are hereby issued, as follows:</w:t>
            </w:r>
          </w:p>
        </w:tc>
      </w:tr>
      <w:tr w:rsidR="002955DD" w:rsidRPr="001C67B7" w14:paraId="54033DF5" w14:textId="452054A3" w:rsidTr="00F867DE">
        <w:tc>
          <w:tcPr>
            <w:tcW w:w="4711" w:type="dxa"/>
          </w:tcPr>
          <w:p w14:paraId="14EFF128" w14:textId="77777777" w:rsidR="002955DD" w:rsidRPr="00837D4A" w:rsidRDefault="002955DD" w:rsidP="002955DD">
            <w:pPr>
              <w:pStyle w:val="ANOTACION"/>
              <w:spacing w:line="224" w:lineRule="exact"/>
              <w:rPr>
                <w:rFonts w:ascii="Verdana" w:hAnsi="Verdana"/>
                <w:sz w:val="16"/>
                <w:szCs w:val="16"/>
              </w:rPr>
            </w:pPr>
            <w:r w:rsidRPr="00837D4A">
              <w:rPr>
                <w:rFonts w:ascii="Verdana" w:hAnsi="Verdana"/>
                <w:sz w:val="16"/>
                <w:szCs w:val="16"/>
              </w:rPr>
              <w:t>REGLAMENTO DE LA LEY DEL SECTOR HIDROCARBUROS</w:t>
            </w:r>
          </w:p>
        </w:tc>
        <w:tc>
          <w:tcPr>
            <w:tcW w:w="4649" w:type="dxa"/>
          </w:tcPr>
          <w:p w14:paraId="045BBA46" w14:textId="5D028A17" w:rsidR="002955DD" w:rsidRPr="00837D4A" w:rsidRDefault="005F6D66" w:rsidP="002955DD">
            <w:pPr>
              <w:pStyle w:val="ANOTACION"/>
              <w:spacing w:line="224" w:lineRule="exact"/>
              <w:rPr>
                <w:rFonts w:ascii="Verdana" w:hAnsi="Verdana"/>
                <w:sz w:val="16"/>
                <w:szCs w:val="16"/>
                <w:lang w:val="en-US"/>
              </w:rPr>
            </w:pPr>
            <w:r w:rsidRPr="00837D4A">
              <w:rPr>
                <w:rFonts w:ascii="Verdana" w:hAnsi="Verdana"/>
                <w:sz w:val="16"/>
                <w:szCs w:val="16"/>
                <w:lang w:val="en-US"/>
              </w:rPr>
              <w:t>REGULATION</w:t>
            </w:r>
            <w:r w:rsidR="002955DD" w:rsidRPr="00837D4A">
              <w:rPr>
                <w:rFonts w:ascii="Verdana" w:hAnsi="Verdana"/>
                <w:sz w:val="16"/>
                <w:szCs w:val="16"/>
                <w:lang w:val="en-US"/>
              </w:rPr>
              <w:t xml:space="preserve"> OF THE </w:t>
            </w:r>
            <w:r w:rsidR="00C070E6" w:rsidRPr="00837D4A">
              <w:rPr>
                <w:rFonts w:ascii="Verdana" w:hAnsi="Verdana"/>
                <w:sz w:val="16"/>
                <w:szCs w:val="16"/>
                <w:lang w:val="en-US"/>
              </w:rPr>
              <w:t>LAW OF THE HYDROCARBONS SECTOR</w:t>
            </w:r>
          </w:p>
        </w:tc>
      </w:tr>
      <w:tr w:rsidR="00F867DE" w:rsidRPr="002C0F16" w14:paraId="353BE56F" w14:textId="77777777" w:rsidTr="00F867DE">
        <w:tc>
          <w:tcPr>
            <w:tcW w:w="4711" w:type="dxa"/>
          </w:tcPr>
          <w:p w14:paraId="24F3EA09" w14:textId="09DFC9C0" w:rsidR="00F867DE" w:rsidRPr="00F867DE" w:rsidRDefault="009849AC" w:rsidP="002955DD">
            <w:pPr>
              <w:pStyle w:val="ANOTACION"/>
              <w:spacing w:line="224" w:lineRule="exact"/>
              <w:rPr>
                <w:rFonts w:ascii="Verdana" w:hAnsi="Verdana"/>
                <w:sz w:val="16"/>
                <w:szCs w:val="16"/>
                <w:lang w:val="en-US"/>
              </w:rPr>
            </w:pPr>
            <w:r>
              <w:rPr>
                <w:rFonts w:ascii="Verdana" w:hAnsi="Verdana"/>
                <w:sz w:val="16"/>
                <w:szCs w:val="16"/>
                <w:lang w:val="en-US"/>
              </w:rPr>
              <w:t>ÍNDICE</w:t>
            </w:r>
          </w:p>
        </w:tc>
        <w:tc>
          <w:tcPr>
            <w:tcW w:w="4649" w:type="dxa"/>
          </w:tcPr>
          <w:p w14:paraId="3C66223A" w14:textId="248D080B" w:rsidR="00F867DE" w:rsidRPr="00837D4A" w:rsidRDefault="009849AC" w:rsidP="002955DD">
            <w:pPr>
              <w:pStyle w:val="ANOTACION"/>
              <w:spacing w:line="224" w:lineRule="exact"/>
              <w:rPr>
                <w:rFonts w:ascii="Verdana" w:hAnsi="Verdana"/>
                <w:sz w:val="16"/>
                <w:szCs w:val="16"/>
                <w:lang w:val="en-US"/>
              </w:rPr>
            </w:pPr>
            <w:r>
              <w:rPr>
                <w:rFonts w:ascii="Verdana" w:hAnsi="Verdana"/>
                <w:sz w:val="16"/>
                <w:szCs w:val="16"/>
                <w:lang w:val="en-US"/>
              </w:rPr>
              <w:t>INDEX</w:t>
            </w:r>
          </w:p>
        </w:tc>
      </w:tr>
      <w:tr w:rsidR="00F867DE" w:rsidRPr="002C0F16" w14:paraId="473B68BC" w14:textId="77777777" w:rsidTr="00F867DE">
        <w:tc>
          <w:tcPr>
            <w:tcW w:w="4711" w:type="dxa"/>
          </w:tcPr>
          <w:p w14:paraId="2707F654" w14:textId="12748C29"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TÍTULO PRIMERO</w:t>
            </w:r>
          </w:p>
        </w:tc>
        <w:tc>
          <w:tcPr>
            <w:tcW w:w="4649" w:type="dxa"/>
          </w:tcPr>
          <w:p w14:paraId="7781BCF8" w14:textId="1C31C90E"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FIRST TITLE</w:t>
            </w:r>
          </w:p>
        </w:tc>
      </w:tr>
      <w:tr w:rsidR="00F867DE" w:rsidRPr="002C0F16" w14:paraId="0BB073FD" w14:textId="77777777" w:rsidTr="00F867DE">
        <w:tc>
          <w:tcPr>
            <w:tcW w:w="4711" w:type="dxa"/>
          </w:tcPr>
          <w:p w14:paraId="24AA446F" w14:textId="3CFACE7D"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DEL SECTOR HIDROCARBUROS</w:t>
            </w:r>
          </w:p>
        </w:tc>
        <w:tc>
          <w:tcPr>
            <w:tcW w:w="4649" w:type="dxa"/>
          </w:tcPr>
          <w:p w14:paraId="33101989" w14:textId="7CD07849"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THE HYDROCARBON SECTOR</w:t>
            </w:r>
          </w:p>
        </w:tc>
      </w:tr>
      <w:tr w:rsidR="00F867DE" w:rsidRPr="002C0F16" w14:paraId="1AE12DB4" w14:textId="77777777" w:rsidTr="00F867DE">
        <w:tc>
          <w:tcPr>
            <w:tcW w:w="4711" w:type="dxa"/>
          </w:tcPr>
          <w:p w14:paraId="0C6E758E" w14:textId="64A3716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Único</w:t>
            </w:r>
          </w:p>
        </w:tc>
        <w:tc>
          <w:tcPr>
            <w:tcW w:w="4649" w:type="dxa"/>
          </w:tcPr>
          <w:p w14:paraId="04A07625" w14:textId="6D42FB1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Sole Chapter</w:t>
            </w:r>
          </w:p>
        </w:tc>
      </w:tr>
      <w:tr w:rsidR="00F867DE" w:rsidRPr="002C0F16" w14:paraId="3D34D9AE" w14:textId="77777777" w:rsidTr="00F867DE">
        <w:tc>
          <w:tcPr>
            <w:tcW w:w="4711" w:type="dxa"/>
          </w:tcPr>
          <w:p w14:paraId="77A1919B" w14:textId="3DA7D722"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Disposiciones Generales</w:t>
            </w:r>
          </w:p>
        </w:tc>
        <w:tc>
          <w:tcPr>
            <w:tcW w:w="4649" w:type="dxa"/>
          </w:tcPr>
          <w:p w14:paraId="0C5BEA36" w14:textId="6AF5004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General Provisions</w:t>
            </w:r>
          </w:p>
        </w:tc>
      </w:tr>
      <w:tr w:rsidR="00F867DE" w:rsidRPr="002C0F16" w14:paraId="4F475C81" w14:textId="77777777" w:rsidTr="00F867DE">
        <w:tc>
          <w:tcPr>
            <w:tcW w:w="4711" w:type="dxa"/>
          </w:tcPr>
          <w:p w14:paraId="1D4C9F23" w14:textId="541978B7"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TÍTULO SEGUNDO</w:t>
            </w:r>
          </w:p>
        </w:tc>
        <w:tc>
          <w:tcPr>
            <w:tcW w:w="4649" w:type="dxa"/>
          </w:tcPr>
          <w:p w14:paraId="1F81BD49" w14:textId="7038F04D"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SECOND TITLE</w:t>
            </w:r>
          </w:p>
        </w:tc>
      </w:tr>
      <w:tr w:rsidR="00F867DE" w:rsidRPr="001C67B7" w14:paraId="3DEB9AB6" w14:textId="77777777" w:rsidTr="00F867DE">
        <w:tc>
          <w:tcPr>
            <w:tcW w:w="4711" w:type="dxa"/>
          </w:tcPr>
          <w:p w14:paraId="2B9ACE8E" w14:textId="5367A26C"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DEL RECONOCIMIENTO Y EXPLORACIÓN SUPERFICIAL Y DE LA EXPLORACIÓN Y EXTRACCIÓN DE HIDROCARBUROS</w:t>
            </w:r>
          </w:p>
        </w:tc>
        <w:tc>
          <w:tcPr>
            <w:tcW w:w="4649" w:type="dxa"/>
          </w:tcPr>
          <w:p w14:paraId="6CF2E943" w14:textId="49CEEB2A"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SURFACE RECONNAISSANCE AND EXPLORATION AND HYDROCARBON EXPLORATION AND EXTRACTION</w:t>
            </w:r>
          </w:p>
        </w:tc>
      </w:tr>
      <w:tr w:rsidR="00F867DE" w:rsidRPr="002C0F16" w14:paraId="39E492D6" w14:textId="77777777" w:rsidTr="00F867DE">
        <w:tc>
          <w:tcPr>
            <w:tcW w:w="4711" w:type="dxa"/>
          </w:tcPr>
          <w:p w14:paraId="129B1D33" w14:textId="2220939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w:t>
            </w:r>
          </w:p>
        </w:tc>
        <w:tc>
          <w:tcPr>
            <w:tcW w:w="4649" w:type="dxa"/>
          </w:tcPr>
          <w:p w14:paraId="63BBE246" w14:textId="56CB89FB"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w:t>
            </w:r>
          </w:p>
        </w:tc>
      </w:tr>
      <w:tr w:rsidR="00F867DE" w:rsidRPr="002C0F16" w14:paraId="4D8CB4C9" w14:textId="77777777" w:rsidTr="00F867DE">
        <w:tc>
          <w:tcPr>
            <w:tcW w:w="4711" w:type="dxa"/>
          </w:tcPr>
          <w:p w14:paraId="10E1FBCE" w14:textId="597958DE"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Reconocimiento y Exploración Superficial</w:t>
            </w:r>
          </w:p>
        </w:tc>
        <w:tc>
          <w:tcPr>
            <w:tcW w:w="4649" w:type="dxa"/>
          </w:tcPr>
          <w:p w14:paraId="4885BC11" w14:textId="1F533210"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Surface Reconnaissance and Exploration</w:t>
            </w:r>
          </w:p>
        </w:tc>
      </w:tr>
      <w:tr w:rsidR="00F867DE" w:rsidRPr="002C0F16" w14:paraId="28536D2F" w14:textId="77777777" w:rsidTr="00F867DE">
        <w:tc>
          <w:tcPr>
            <w:tcW w:w="4711" w:type="dxa"/>
          </w:tcPr>
          <w:p w14:paraId="2A007057" w14:textId="55B45B7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w:t>
            </w:r>
          </w:p>
        </w:tc>
        <w:tc>
          <w:tcPr>
            <w:tcW w:w="4649" w:type="dxa"/>
          </w:tcPr>
          <w:p w14:paraId="6DE293F7" w14:textId="0326B5C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w:t>
            </w:r>
          </w:p>
        </w:tc>
      </w:tr>
      <w:tr w:rsidR="00F867DE" w:rsidRPr="001C67B7" w14:paraId="738DDA3D" w14:textId="77777777" w:rsidTr="00F867DE">
        <w:tc>
          <w:tcPr>
            <w:tcW w:w="4711" w:type="dxa"/>
          </w:tcPr>
          <w:p w14:paraId="239060B1" w14:textId="7F189EA8"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Disposiciones Generales de las Asignaciones para Desarrollo Propio y Asignaciones para Desarrollo Mixto</w:t>
            </w:r>
          </w:p>
        </w:tc>
        <w:tc>
          <w:tcPr>
            <w:tcW w:w="4649" w:type="dxa"/>
          </w:tcPr>
          <w:p w14:paraId="74DA3E1D" w14:textId="6E8B8D8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 xml:space="preserve">General Provisions of Assignments for </w:t>
            </w:r>
            <w:proofErr w:type="spellStart"/>
            <w:r w:rsidRPr="00364F69">
              <w:rPr>
                <w:rFonts w:ascii="Verdana" w:hAnsi="Verdana"/>
                <w:b w:val="0"/>
                <w:bCs/>
                <w:sz w:val="16"/>
                <w:szCs w:val="16"/>
                <w:lang w:val="en-US"/>
              </w:rPr>
              <w:t>Self Development</w:t>
            </w:r>
            <w:proofErr w:type="spellEnd"/>
            <w:r w:rsidRPr="00364F69">
              <w:rPr>
                <w:rFonts w:ascii="Verdana" w:hAnsi="Verdana"/>
                <w:b w:val="0"/>
                <w:bCs/>
                <w:sz w:val="16"/>
                <w:szCs w:val="16"/>
                <w:lang w:val="en-US"/>
              </w:rPr>
              <w:t xml:space="preserve"> and Assignments for Mixed Development</w:t>
            </w:r>
          </w:p>
        </w:tc>
      </w:tr>
      <w:tr w:rsidR="00F867DE" w:rsidRPr="002C0F16" w14:paraId="7AB16F29" w14:textId="77777777" w:rsidTr="00F867DE">
        <w:tc>
          <w:tcPr>
            <w:tcW w:w="4711" w:type="dxa"/>
          </w:tcPr>
          <w:p w14:paraId="0823BAE4" w14:textId="7AC1D74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5DC571F3" w14:textId="796D7BA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3149C25E" w14:textId="77777777" w:rsidTr="00F867DE">
        <w:tc>
          <w:tcPr>
            <w:tcW w:w="4711" w:type="dxa"/>
          </w:tcPr>
          <w:p w14:paraId="040269B7" w14:textId="782E08B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Otorgamiento de Asignaciones</w:t>
            </w:r>
          </w:p>
        </w:tc>
        <w:tc>
          <w:tcPr>
            <w:tcW w:w="4649" w:type="dxa"/>
          </w:tcPr>
          <w:p w14:paraId="6B9E41A8" w14:textId="19122EB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Granting of Assignments</w:t>
            </w:r>
          </w:p>
        </w:tc>
      </w:tr>
      <w:tr w:rsidR="00F867DE" w:rsidRPr="002C0F16" w14:paraId="7450FD69" w14:textId="77777777" w:rsidTr="00F867DE">
        <w:tc>
          <w:tcPr>
            <w:tcW w:w="4711" w:type="dxa"/>
          </w:tcPr>
          <w:p w14:paraId="75B25F32" w14:textId="699756F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56FAF334" w14:textId="6DF0CAF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6D6C9DD8" w14:textId="77777777" w:rsidTr="00F867DE">
        <w:tc>
          <w:tcPr>
            <w:tcW w:w="4711" w:type="dxa"/>
          </w:tcPr>
          <w:p w14:paraId="62169815" w14:textId="49A7B2F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Renuncia</w:t>
            </w:r>
          </w:p>
        </w:tc>
        <w:tc>
          <w:tcPr>
            <w:tcW w:w="4649" w:type="dxa"/>
          </w:tcPr>
          <w:p w14:paraId="17D5500C" w14:textId="41894EA0"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Renunciation</w:t>
            </w:r>
          </w:p>
        </w:tc>
      </w:tr>
      <w:tr w:rsidR="00F867DE" w:rsidRPr="002C0F16" w14:paraId="47CEB0A5" w14:textId="77777777" w:rsidTr="00F867DE">
        <w:tc>
          <w:tcPr>
            <w:tcW w:w="4711" w:type="dxa"/>
          </w:tcPr>
          <w:p w14:paraId="7AF05E3A" w14:textId="4B9A200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Tercera</w:t>
            </w:r>
          </w:p>
        </w:tc>
        <w:tc>
          <w:tcPr>
            <w:tcW w:w="4649" w:type="dxa"/>
          </w:tcPr>
          <w:p w14:paraId="725BD386" w14:textId="72CA6B9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Third Section</w:t>
            </w:r>
          </w:p>
        </w:tc>
      </w:tr>
      <w:tr w:rsidR="00F867DE" w:rsidRPr="002C0F16" w14:paraId="5A0B80A2" w14:textId="77777777" w:rsidTr="00F867DE">
        <w:tc>
          <w:tcPr>
            <w:tcW w:w="4711" w:type="dxa"/>
          </w:tcPr>
          <w:p w14:paraId="32D4E27E" w14:textId="5A8ED75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Revocación</w:t>
            </w:r>
          </w:p>
        </w:tc>
        <w:tc>
          <w:tcPr>
            <w:tcW w:w="4649" w:type="dxa"/>
          </w:tcPr>
          <w:p w14:paraId="2C01BF10" w14:textId="34E85A7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Revocation</w:t>
            </w:r>
          </w:p>
        </w:tc>
      </w:tr>
      <w:tr w:rsidR="00F867DE" w:rsidRPr="002C0F16" w14:paraId="39C8A4CE" w14:textId="77777777" w:rsidTr="00F867DE">
        <w:tc>
          <w:tcPr>
            <w:tcW w:w="4711" w:type="dxa"/>
          </w:tcPr>
          <w:p w14:paraId="0652AD0F" w14:textId="50E30E4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III</w:t>
            </w:r>
          </w:p>
        </w:tc>
        <w:tc>
          <w:tcPr>
            <w:tcW w:w="4649" w:type="dxa"/>
          </w:tcPr>
          <w:p w14:paraId="2CC5C2A3" w14:textId="31A7701E"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III</w:t>
            </w:r>
          </w:p>
        </w:tc>
      </w:tr>
      <w:tr w:rsidR="00F867DE" w:rsidRPr="002C0F16" w14:paraId="3913D46E" w14:textId="77777777" w:rsidTr="00F867DE">
        <w:tc>
          <w:tcPr>
            <w:tcW w:w="4711" w:type="dxa"/>
          </w:tcPr>
          <w:p w14:paraId="61675883" w14:textId="7F84FCD2"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Asignaciones para Desarrollo Propio</w:t>
            </w:r>
          </w:p>
        </w:tc>
        <w:tc>
          <w:tcPr>
            <w:tcW w:w="4649" w:type="dxa"/>
          </w:tcPr>
          <w:p w14:paraId="54BB8616" w14:textId="2BE400E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Assignments for Self-Development</w:t>
            </w:r>
          </w:p>
        </w:tc>
      </w:tr>
      <w:tr w:rsidR="00F867DE" w:rsidRPr="002C0F16" w14:paraId="20004862" w14:textId="77777777" w:rsidTr="00F867DE">
        <w:tc>
          <w:tcPr>
            <w:tcW w:w="4711" w:type="dxa"/>
          </w:tcPr>
          <w:p w14:paraId="48C96304" w14:textId="65032DB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70E86F3C" w14:textId="45FE1EE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7D2EC947" w14:textId="77777777" w:rsidTr="00F867DE">
        <w:tc>
          <w:tcPr>
            <w:tcW w:w="4711" w:type="dxa"/>
          </w:tcPr>
          <w:p w14:paraId="45E5AD8B" w14:textId="40F52238"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Modificación</w:t>
            </w:r>
          </w:p>
        </w:tc>
        <w:tc>
          <w:tcPr>
            <w:tcW w:w="4649" w:type="dxa"/>
          </w:tcPr>
          <w:p w14:paraId="173F9473" w14:textId="172E9A0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Modification</w:t>
            </w:r>
          </w:p>
        </w:tc>
      </w:tr>
      <w:tr w:rsidR="00F867DE" w:rsidRPr="002C0F16" w14:paraId="09DA7AAD" w14:textId="77777777" w:rsidTr="00F867DE">
        <w:tc>
          <w:tcPr>
            <w:tcW w:w="4711" w:type="dxa"/>
          </w:tcPr>
          <w:p w14:paraId="58589F7B" w14:textId="71D8F183"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5AEB243F" w14:textId="2AB6140B"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3AF140DE" w14:textId="77777777" w:rsidTr="00F867DE">
        <w:tc>
          <w:tcPr>
            <w:tcW w:w="4711" w:type="dxa"/>
          </w:tcPr>
          <w:p w14:paraId="1DA10702" w14:textId="262BC1B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Sustitución</w:t>
            </w:r>
          </w:p>
        </w:tc>
        <w:tc>
          <w:tcPr>
            <w:tcW w:w="4649" w:type="dxa"/>
          </w:tcPr>
          <w:p w14:paraId="45968821" w14:textId="77B43E08"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Substitution</w:t>
            </w:r>
          </w:p>
        </w:tc>
      </w:tr>
      <w:tr w:rsidR="00F867DE" w:rsidRPr="002C0F16" w14:paraId="52FB6205" w14:textId="77777777" w:rsidTr="00F867DE">
        <w:tc>
          <w:tcPr>
            <w:tcW w:w="4711" w:type="dxa"/>
          </w:tcPr>
          <w:p w14:paraId="5452472F" w14:textId="58BCB8F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IV</w:t>
            </w:r>
          </w:p>
        </w:tc>
        <w:tc>
          <w:tcPr>
            <w:tcW w:w="4649" w:type="dxa"/>
          </w:tcPr>
          <w:p w14:paraId="7381BB4D" w14:textId="5B10792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IV</w:t>
            </w:r>
          </w:p>
        </w:tc>
      </w:tr>
      <w:tr w:rsidR="00F867DE" w:rsidRPr="002C0F16" w14:paraId="4948C69B" w14:textId="77777777" w:rsidTr="00F867DE">
        <w:tc>
          <w:tcPr>
            <w:tcW w:w="4711" w:type="dxa"/>
          </w:tcPr>
          <w:p w14:paraId="10EC4D22" w14:textId="22059BF3"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Asignaciones para Desarrollo Mixto</w:t>
            </w:r>
          </w:p>
        </w:tc>
        <w:tc>
          <w:tcPr>
            <w:tcW w:w="4649" w:type="dxa"/>
          </w:tcPr>
          <w:p w14:paraId="5457D9BB" w14:textId="4C3C82A2"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Mixed Development Assignments</w:t>
            </w:r>
          </w:p>
        </w:tc>
      </w:tr>
      <w:tr w:rsidR="00F867DE" w:rsidRPr="002C0F16" w14:paraId="69F803B9" w14:textId="77777777" w:rsidTr="00F867DE">
        <w:tc>
          <w:tcPr>
            <w:tcW w:w="4711" w:type="dxa"/>
          </w:tcPr>
          <w:p w14:paraId="07F802D3" w14:textId="486C540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50911C50" w14:textId="7EE0357B"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567F28D4" w14:textId="77777777" w:rsidTr="00F867DE">
        <w:tc>
          <w:tcPr>
            <w:tcW w:w="4711" w:type="dxa"/>
          </w:tcPr>
          <w:p w14:paraId="06F63459" w14:textId="7A709E93"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Modificación</w:t>
            </w:r>
          </w:p>
        </w:tc>
        <w:tc>
          <w:tcPr>
            <w:tcW w:w="4649" w:type="dxa"/>
          </w:tcPr>
          <w:p w14:paraId="2E42DF59" w14:textId="4D806703"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Modification</w:t>
            </w:r>
          </w:p>
        </w:tc>
      </w:tr>
      <w:tr w:rsidR="00F867DE" w:rsidRPr="002C0F16" w14:paraId="5CC45F7A" w14:textId="77777777" w:rsidTr="00F867DE">
        <w:tc>
          <w:tcPr>
            <w:tcW w:w="4711" w:type="dxa"/>
          </w:tcPr>
          <w:p w14:paraId="674E4280" w14:textId="51FCB06F"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405A2182" w14:textId="66098410"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447F323A" w14:textId="77777777" w:rsidTr="00F867DE">
        <w:tc>
          <w:tcPr>
            <w:tcW w:w="4711" w:type="dxa"/>
          </w:tcPr>
          <w:p w14:paraId="748FB0B2" w14:textId="161C4FA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lastRenderedPageBreak/>
              <w:t>De la Modificación de Modalidad</w:t>
            </w:r>
          </w:p>
        </w:tc>
        <w:tc>
          <w:tcPr>
            <w:tcW w:w="4649" w:type="dxa"/>
          </w:tcPr>
          <w:p w14:paraId="477A93A6" w14:textId="57296EF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Modification of Modality</w:t>
            </w:r>
          </w:p>
        </w:tc>
      </w:tr>
      <w:tr w:rsidR="00F867DE" w:rsidRPr="002C0F16" w14:paraId="7C04378D" w14:textId="77777777" w:rsidTr="00F867DE">
        <w:tc>
          <w:tcPr>
            <w:tcW w:w="4711" w:type="dxa"/>
          </w:tcPr>
          <w:p w14:paraId="5EB6BCA0" w14:textId="6B93191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Tercera</w:t>
            </w:r>
          </w:p>
        </w:tc>
        <w:tc>
          <w:tcPr>
            <w:tcW w:w="4649" w:type="dxa"/>
          </w:tcPr>
          <w:p w14:paraId="236F32FF" w14:textId="0536E1B3"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Third Section</w:t>
            </w:r>
          </w:p>
        </w:tc>
      </w:tr>
      <w:tr w:rsidR="00F867DE" w:rsidRPr="007B432C" w14:paraId="79E257F1" w14:textId="77777777" w:rsidTr="00F867DE">
        <w:tc>
          <w:tcPr>
            <w:tcW w:w="4711" w:type="dxa"/>
          </w:tcPr>
          <w:p w14:paraId="48D41109" w14:textId="257D4F32"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Revisión de la Recuperación de Costos y la Contabilidad de los Contratos Mixtos</w:t>
            </w:r>
          </w:p>
        </w:tc>
        <w:tc>
          <w:tcPr>
            <w:tcW w:w="4649" w:type="dxa"/>
          </w:tcPr>
          <w:p w14:paraId="0A9E6701" w14:textId="5353E95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Review of Cost Recovery and Accounting for Mixed Contracts</w:t>
            </w:r>
          </w:p>
        </w:tc>
      </w:tr>
      <w:tr w:rsidR="00F867DE" w:rsidRPr="002C0F16" w14:paraId="4EF7D327" w14:textId="77777777" w:rsidTr="00F867DE">
        <w:tc>
          <w:tcPr>
            <w:tcW w:w="4711" w:type="dxa"/>
          </w:tcPr>
          <w:p w14:paraId="179C4F74" w14:textId="552C511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V</w:t>
            </w:r>
          </w:p>
        </w:tc>
        <w:tc>
          <w:tcPr>
            <w:tcW w:w="4649" w:type="dxa"/>
          </w:tcPr>
          <w:p w14:paraId="62A0D427" w14:textId="203034C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V</w:t>
            </w:r>
          </w:p>
        </w:tc>
      </w:tr>
      <w:tr w:rsidR="00F867DE" w:rsidRPr="007B432C" w14:paraId="05D13885" w14:textId="77777777" w:rsidTr="00F867DE">
        <w:tc>
          <w:tcPr>
            <w:tcW w:w="4711" w:type="dxa"/>
          </w:tcPr>
          <w:p w14:paraId="146C6A18" w14:textId="74648F93"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los Contratos para la Exploración y Extracción</w:t>
            </w:r>
          </w:p>
        </w:tc>
        <w:tc>
          <w:tcPr>
            <w:tcW w:w="4649" w:type="dxa"/>
          </w:tcPr>
          <w:p w14:paraId="1E2ED5EA" w14:textId="50E4F4D6" w:rsidR="00F867DE" w:rsidRPr="00F867DE" w:rsidRDefault="00F867DE" w:rsidP="00F867DE">
            <w:pPr>
              <w:pStyle w:val="ANOTACION"/>
              <w:spacing w:before="0" w:after="0" w:line="224" w:lineRule="exact"/>
              <w:jc w:val="left"/>
              <w:rPr>
                <w:rFonts w:ascii="Verdana" w:hAnsi="Verdana"/>
                <w:b w:val="0"/>
                <w:bCs/>
                <w:sz w:val="16"/>
                <w:szCs w:val="16"/>
                <w:lang w:val="en-US"/>
              </w:rPr>
            </w:pPr>
            <w:r w:rsidRPr="00F867DE">
              <w:rPr>
                <w:rFonts w:ascii="Verdana" w:hAnsi="Verdana"/>
                <w:b w:val="0"/>
                <w:bCs/>
                <w:sz w:val="16"/>
                <w:szCs w:val="16"/>
                <w:lang w:val="es-MX"/>
              </w:rPr>
              <w:t xml:space="preserve"> </w:t>
            </w:r>
            <w:r w:rsidRPr="00364F69">
              <w:rPr>
                <w:rFonts w:ascii="Verdana" w:hAnsi="Verdana"/>
                <w:b w:val="0"/>
                <w:bCs/>
                <w:sz w:val="16"/>
                <w:szCs w:val="16"/>
                <w:lang w:val="en-US"/>
              </w:rPr>
              <w:t>Contracts for Exploration and Extraction</w:t>
            </w:r>
          </w:p>
        </w:tc>
      </w:tr>
      <w:tr w:rsidR="00F867DE" w:rsidRPr="002C0F16" w14:paraId="53776A86" w14:textId="77777777" w:rsidTr="00F867DE">
        <w:tc>
          <w:tcPr>
            <w:tcW w:w="4711" w:type="dxa"/>
          </w:tcPr>
          <w:p w14:paraId="4671F6DF" w14:textId="7A91881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1D189777" w14:textId="3C1EA5B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13B71897" w14:textId="77777777" w:rsidTr="00F867DE">
        <w:tc>
          <w:tcPr>
            <w:tcW w:w="4711" w:type="dxa"/>
          </w:tcPr>
          <w:p w14:paraId="273E7CA9" w14:textId="7EC8ECF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Procedimiento para la Migración de Asignaciones para Desarrollo Propio a Contratos para la Exploración y Extracción</w:t>
            </w:r>
          </w:p>
        </w:tc>
        <w:tc>
          <w:tcPr>
            <w:tcW w:w="4649" w:type="dxa"/>
          </w:tcPr>
          <w:p w14:paraId="23411B0A" w14:textId="7D36DCF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 xml:space="preserve">Procedure for the Migration of Assignments for </w:t>
            </w:r>
            <w:proofErr w:type="spellStart"/>
            <w:r w:rsidRPr="00364F69">
              <w:rPr>
                <w:rFonts w:ascii="Verdana" w:hAnsi="Verdana"/>
                <w:b w:val="0"/>
                <w:bCs/>
                <w:sz w:val="16"/>
                <w:szCs w:val="16"/>
                <w:lang w:val="en-US"/>
              </w:rPr>
              <w:t>Self Development</w:t>
            </w:r>
            <w:proofErr w:type="spellEnd"/>
            <w:r w:rsidRPr="00364F69">
              <w:rPr>
                <w:rFonts w:ascii="Verdana" w:hAnsi="Verdana"/>
                <w:b w:val="0"/>
                <w:bCs/>
                <w:sz w:val="16"/>
                <w:szCs w:val="16"/>
                <w:lang w:val="en-US"/>
              </w:rPr>
              <w:t xml:space="preserve"> to Contracts for Exploration and Extraction</w:t>
            </w:r>
          </w:p>
        </w:tc>
      </w:tr>
      <w:tr w:rsidR="00F867DE" w:rsidRPr="002C0F16" w14:paraId="1CE8230E" w14:textId="77777777" w:rsidTr="00F867DE">
        <w:tc>
          <w:tcPr>
            <w:tcW w:w="4711" w:type="dxa"/>
          </w:tcPr>
          <w:p w14:paraId="7237170B" w14:textId="3CC82D6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467BF80F" w14:textId="66818B86"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32EA465D" w14:textId="77777777" w:rsidTr="00F867DE">
        <w:tc>
          <w:tcPr>
            <w:tcW w:w="4711" w:type="dxa"/>
          </w:tcPr>
          <w:p w14:paraId="72927B84" w14:textId="12D270BE"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Proceso de Licitación de los Contratos para la Exploración y Extracción</w:t>
            </w:r>
          </w:p>
        </w:tc>
        <w:tc>
          <w:tcPr>
            <w:tcW w:w="4649" w:type="dxa"/>
          </w:tcPr>
          <w:p w14:paraId="78997A00" w14:textId="2E3BF36E"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Tendering Process for Exploration and Extraction Contracts</w:t>
            </w:r>
          </w:p>
        </w:tc>
      </w:tr>
      <w:tr w:rsidR="00F867DE" w:rsidRPr="002C0F16" w14:paraId="7B026077" w14:textId="77777777" w:rsidTr="00F867DE">
        <w:tc>
          <w:tcPr>
            <w:tcW w:w="4711" w:type="dxa"/>
          </w:tcPr>
          <w:p w14:paraId="609A3B12" w14:textId="4CF6849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Tercera</w:t>
            </w:r>
          </w:p>
        </w:tc>
        <w:tc>
          <w:tcPr>
            <w:tcW w:w="4649" w:type="dxa"/>
          </w:tcPr>
          <w:p w14:paraId="17D900DA" w14:textId="2849BFEB"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Third Section</w:t>
            </w:r>
          </w:p>
        </w:tc>
      </w:tr>
      <w:tr w:rsidR="00F867DE" w:rsidRPr="002C0F16" w14:paraId="7E20B990" w14:textId="77777777" w:rsidTr="00F867DE">
        <w:tc>
          <w:tcPr>
            <w:tcW w:w="4711" w:type="dxa"/>
          </w:tcPr>
          <w:p w14:paraId="253BBB0E" w14:textId="3054682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Rescisión Administrativa de los Contratos para la Exploración y Extracción</w:t>
            </w:r>
          </w:p>
        </w:tc>
        <w:tc>
          <w:tcPr>
            <w:tcW w:w="4649" w:type="dxa"/>
          </w:tcPr>
          <w:p w14:paraId="7F83CB71" w14:textId="312C421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Administrative Termination of Contracts for Exploration and Extraction</w:t>
            </w:r>
          </w:p>
        </w:tc>
      </w:tr>
      <w:tr w:rsidR="00F867DE" w:rsidRPr="002C0F16" w14:paraId="4F196D24" w14:textId="77777777" w:rsidTr="00F867DE">
        <w:tc>
          <w:tcPr>
            <w:tcW w:w="4711" w:type="dxa"/>
          </w:tcPr>
          <w:p w14:paraId="487BD1E8" w14:textId="09F110E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Cuarta</w:t>
            </w:r>
          </w:p>
        </w:tc>
        <w:tc>
          <w:tcPr>
            <w:tcW w:w="4649" w:type="dxa"/>
          </w:tcPr>
          <w:p w14:paraId="51309037" w14:textId="00214003"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Fourth Section</w:t>
            </w:r>
          </w:p>
        </w:tc>
      </w:tr>
      <w:tr w:rsidR="00F867DE" w:rsidRPr="001C67B7" w14:paraId="0F08911A" w14:textId="77777777" w:rsidTr="00F867DE">
        <w:tc>
          <w:tcPr>
            <w:tcW w:w="4711" w:type="dxa"/>
          </w:tcPr>
          <w:p w14:paraId="1D7CCBC8" w14:textId="16A1766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Comercialización de los Hidrocarburos que el Estado obtenga como  resultado de los Contratos para la Exploración y Extracción</w:t>
            </w:r>
          </w:p>
        </w:tc>
        <w:tc>
          <w:tcPr>
            <w:tcW w:w="4649" w:type="dxa"/>
          </w:tcPr>
          <w:p w14:paraId="57A278FE" w14:textId="4B471F10"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Marketing of Hydrocarbons that the State obtains as a result of the Contracts for Exploration and Extraction</w:t>
            </w:r>
          </w:p>
        </w:tc>
      </w:tr>
      <w:tr w:rsidR="00F867DE" w:rsidRPr="002C0F16" w14:paraId="6463FB37" w14:textId="77777777" w:rsidTr="00F867DE">
        <w:tc>
          <w:tcPr>
            <w:tcW w:w="4711" w:type="dxa"/>
          </w:tcPr>
          <w:p w14:paraId="748416B8" w14:textId="027F770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Quinta</w:t>
            </w:r>
          </w:p>
        </w:tc>
        <w:tc>
          <w:tcPr>
            <w:tcW w:w="4649" w:type="dxa"/>
          </w:tcPr>
          <w:p w14:paraId="0A68752D" w14:textId="6F05CE6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Fifth Section</w:t>
            </w:r>
          </w:p>
        </w:tc>
      </w:tr>
      <w:tr w:rsidR="00F867DE" w:rsidRPr="001C67B7" w14:paraId="5B21E86E" w14:textId="77777777" w:rsidTr="00F867DE">
        <w:tc>
          <w:tcPr>
            <w:tcW w:w="4711" w:type="dxa"/>
          </w:tcPr>
          <w:p w14:paraId="6AA94BD6" w14:textId="4CCD6D7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Adjudicación Directa de los Contratos para la Exploración y Extracción a Personas Titulares de Concesiones Mineras</w:t>
            </w:r>
          </w:p>
        </w:tc>
        <w:tc>
          <w:tcPr>
            <w:tcW w:w="4649" w:type="dxa"/>
          </w:tcPr>
          <w:p w14:paraId="7BCF4F4B" w14:textId="7FEC4EDB"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Direct Award of Exploration and Extraction Contracts to Holders of Mining Concessions</w:t>
            </w:r>
          </w:p>
        </w:tc>
      </w:tr>
      <w:tr w:rsidR="00F867DE" w:rsidRPr="002C0F16" w14:paraId="53944026" w14:textId="77777777" w:rsidTr="00F867DE">
        <w:tc>
          <w:tcPr>
            <w:tcW w:w="4711" w:type="dxa"/>
          </w:tcPr>
          <w:p w14:paraId="3EDEAB4A" w14:textId="279A1A5A" w:rsidR="00F867DE" w:rsidRPr="00F867DE" w:rsidRDefault="00F867DE" w:rsidP="00F867DE">
            <w:pPr>
              <w:pStyle w:val="ANOTACION"/>
              <w:spacing w:before="0" w:after="0" w:line="224" w:lineRule="exact"/>
              <w:jc w:val="left"/>
              <w:rPr>
                <w:rFonts w:ascii="Verdana" w:hAnsi="Verdana"/>
                <w:b w:val="0"/>
                <w:bCs/>
                <w:sz w:val="16"/>
                <w:szCs w:val="16"/>
              </w:rPr>
            </w:pPr>
            <w:r w:rsidRPr="00364F69">
              <w:rPr>
                <w:b w:val="0"/>
                <w:bCs/>
                <w:lang w:val="es-MX"/>
              </w:rPr>
              <w:t>Sección Sexta</w:t>
            </w:r>
          </w:p>
        </w:tc>
        <w:tc>
          <w:tcPr>
            <w:tcW w:w="4649" w:type="dxa"/>
          </w:tcPr>
          <w:p w14:paraId="7F5DFBDD" w14:textId="5DF1ACA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b w:val="0"/>
                <w:bCs/>
                <w:lang w:val="en-US"/>
              </w:rPr>
              <w:t>Sixth Section</w:t>
            </w:r>
          </w:p>
        </w:tc>
      </w:tr>
      <w:tr w:rsidR="00F867DE" w:rsidRPr="002C0F16" w14:paraId="31DA0CD7" w14:textId="77777777" w:rsidTr="00F867DE">
        <w:tc>
          <w:tcPr>
            <w:tcW w:w="4711" w:type="dxa"/>
          </w:tcPr>
          <w:p w14:paraId="796DDD2C" w14:textId="1B79B18E" w:rsidR="00F867DE" w:rsidRPr="00F867DE" w:rsidRDefault="00F867DE" w:rsidP="00F867DE">
            <w:pPr>
              <w:pStyle w:val="ANOTACION"/>
              <w:spacing w:before="0" w:after="0" w:line="224" w:lineRule="exact"/>
              <w:jc w:val="left"/>
              <w:rPr>
                <w:rFonts w:ascii="Verdana" w:hAnsi="Verdana"/>
                <w:b w:val="0"/>
                <w:bCs/>
                <w:sz w:val="16"/>
                <w:szCs w:val="16"/>
              </w:rPr>
            </w:pPr>
            <w:r w:rsidRPr="00364F69">
              <w:rPr>
                <w:b w:val="0"/>
                <w:bCs/>
                <w:lang w:val="es-MX"/>
              </w:rPr>
              <w:t>De la Coexistencia de las Asignaciones y de los Contratos para la Exploración y Extracción con las Concesiones Mineras</w:t>
            </w:r>
          </w:p>
        </w:tc>
        <w:tc>
          <w:tcPr>
            <w:tcW w:w="4649" w:type="dxa"/>
          </w:tcPr>
          <w:p w14:paraId="06CAEC5B" w14:textId="269D461E"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b w:val="0"/>
                <w:bCs/>
                <w:lang w:val="en-US"/>
              </w:rPr>
              <w:t>Coexistence of Assignments and Contracts for Exploration and Extraction with Mining Concessions</w:t>
            </w:r>
          </w:p>
        </w:tc>
      </w:tr>
      <w:tr w:rsidR="00F867DE" w:rsidRPr="002C0F16" w14:paraId="662DD0DD" w14:textId="77777777" w:rsidTr="00F867DE">
        <w:tc>
          <w:tcPr>
            <w:tcW w:w="4711" w:type="dxa"/>
          </w:tcPr>
          <w:p w14:paraId="152B6D46" w14:textId="7A97A2D8"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VI</w:t>
            </w:r>
          </w:p>
        </w:tc>
        <w:tc>
          <w:tcPr>
            <w:tcW w:w="4649" w:type="dxa"/>
          </w:tcPr>
          <w:p w14:paraId="3E0BCFC0" w14:textId="264F3048"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VI</w:t>
            </w:r>
          </w:p>
        </w:tc>
      </w:tr>
      <w:tr w:rsidR="00F867DE" w:rsidRPr="002C0F16" w14:paraId="14E0CBF4" w14:textId="77777777" w:rsidTr="00F867DE">
        <w:tc>
          <w:tcPr>
            <w:tcW w:w="4711" w:type="dxa"/>
          </w:tcPr>
          <w:p w14:paraId="7C321BE2" w14:textId="46FBFEB7"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Información Nacional de Hidrocarburos</w:t>
            </w:r>
          </w:p>
        </w:tc>
        <w:tc>
          <w:tcPr>
            <w:tcW w:w="4649" w:type="dxa"/>
          </w:tcPr>
          <w:p w14:paraId="2964A37D" w14:textId="4C67940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National Hydrocarbon Information</w:t>
            </w:r>
          </w:p>
        </w:tc>
      </w:tr>
      <w:tr w:rsidR="00F867DE" w:rsidRPr="002C0F16" w14:paraId="29B1F80A" w14:textId="77777777" w:rsidTr="00F867DE">
        <w:tc>
          <w:tcPr>
            <w:tcW w:w="4711" w:type="dxa"/>
          </w:tcPr>
          <w:p w14:paraId="0EFD0571" w14:textId="3CA70A24"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1BC68390" w14:textId="6F3CDDFE"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0CA7F9E2" w14:textId="77777777" w:rsidTr="00F867DE">
        <w:tc>
          <w:tcPr>
            <w:tcW w:w="4711" w:type="dxa"/>
          </w:tcPr>
          <w:p w14:paraId="2B857179" w14:textId="0D1D4E17"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Información Estratégica del Subsuelo</w:t>
            </w:r>
          </w:p>
        </w:tc>
        <w:tc>
          <w:tcPr>
            <w:tcW w:w="4649" w:type="dxa"/>
          </w:tcPr>
          <w:p w14:paraId="395F00A1" w14:textId="384982B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Strategic Information of the Subsoil</w:t>
            </w:r>
          </w:p>
        </w:tc>
      </w:tr>
      <w:tr w:rsidR="00F867DE" w:rsidRPr="002C0F16" w14:paraId="0078DE07" w14:textId="77777777" w:rsidTr="00F867DE">
        <w:tc>
          <w:tcPr>
            <w:tcW w:w="4711" w:type="dxa"/>
          </w:tcPr>
          <w:p w14:paraId="2329FAF7" w14:textId="7728E02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VII</w:t>
            </w:r>
          </w:p>
        </w:tc>
        <w:tc>
          <w:tcPr>
            <w:tcW w:w="4649" w:type="dxa"/>
          </w:tcPr>
          <w:p w14:paraId="1C8DA17C" w14:textId="762C160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VII</w:t>
            </w:r>
          </w:p>
        </w:tc>
      </w:tr>
      <w:tr w:rsidR="00F867DE" w:rsidRPr="002C0F16" w14:paraId="7EC644FC" w14:textId="77777777" w:rsidTr="00F867DE">
        <w:tc>
          <w:tcPr>
            <w:tcW w:w="4711" w:type="dxa"/>
          </w:tcPr>
          <w:p w14:paraId="37EA6D10" w14:textId="1456E17E"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Zonas de Salvaguarda</w:t>
            </w:r>
          </w:p>
        </w:tc>
        <w:tc>
          <w:tcPr>
            <w:tcW w:w="4649" w:type="dxa"/>
          </w:tcPr>
          <w:p w14:paraId="3766D355" w14:textId="6415607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Safeguard Zones</w:t>
            </w:r>
          </w:p>
        </w:tc>
      </w:tr>
      <w:tr w:rsidR="00F867DE" w:rsidRPr="002C0F16" w14:paraId="6D51E28C" w14:textId="77777777" w:rsidTr="00F867DE">
        <w:tc>
          <w:tcPr>
            <w:tcW w:w="4711" w:type="dxa"/>
          </w:tcPr>
          <w:p w14:paraId="6ED973BB" w14:textId="23235A5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VIII</w:t>
            </w:r>
          </w:p>
        </w:tc>
        <w:tc>
          <w:tcPr>
            <w:tcW w:w="4649" w:type="dxa"/>
          </w:tcPr>
          <w:p w14:paraId="2739BE9A" w14:textId="1E4DF85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VIII</w:t>
            </w:r>
          </w:p>
        </w:tc>
      </w:tr>
      <w:tr w:rsidR="00F867DE" w:rsidRPr="002C0F16" w14:paraId="6356F7F6" w14:textId="77777777" w:rsidTr="00F867DE">
        <w:tc>
          <w:tcPr>
            <w:tcW w:w="4711" w:type="dxa"/>
          </w:tcPr>
          <w:p w14:paraId="796D156F" w14:textId="303D5D6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Unificación de Campos o Yacimientos Compartidos</w:t>
            </w:r>
          </w:p>
        </w:tc>
        <w:tc>
          <w:tcPr>
            <w:tcW w:w="4649" w:type="dxa"/>
          </w:tcPr>
          <w:p w14:paraId="68DC37D6" w14:textId="3D340D0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Unification of Shared Fields or Deposits</w:t>
            </w:r>
          </w:p>
        </w:tc>
      </w:tr>
      <w:tr w:rsidR="00F867DE" w:rsidRPr="002C0F16" w14:paraId="30FBD38E" w14:textId="77777777" w:rsidTr="00F867DE">
        <w:tc>
          <w:tcPr>
            <w:tcW w:w="4711" w:type="dxa"/>
          </w:tcPr>
          <w:p w14:paraId="1A7395CD" w14:textId="10E5C27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IX</w:t>
            </w:r>
          </w:p>
        </w:tc>
        <w:tc>
          <w:tcPr>
            <w:tcW w:w="4649" w:type="dxa"/>
          </w:tcPr>
          <w:p w14:paraId="5F468F7F" w14:textId="5962ADD7"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IX</w:t>
            </w:r>
          </w:p>
        </w:tc>
      </w:tr>
      <w:tr w:rsidR="00F867DE" w:rsidRPr="002C0F16" w14:paraId="0CDFC0A2" w14:textId="77777777" w:rsidTr="00F867DE">
        <w:tc>
          <w:tcPr>
            <w:tcW w:w="4711" w:type="dxa"/>
          </w:tcPr>
          <w:p w14:paraId="47EFAEF3" w14:textId="39B4040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Autorizaciones de los Pozos y de los Pozos Inviables</w:t>
            </w:r>
          </w:p>
        </w:tc>
        <w:tc>
          <w:tcPr>
            <w:tcW w:w="4649" w:type="dxa"/>
          </w:tcPr>
          <w:p w14:paraId="51177B3D" w14:textId="4A0C0C43"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Authorizations of Wells and Unviable Wells</w:t>
            </w:r>
          </w:p>
        </w:tc>
      </w:tr>
      <w:tr w:rsidR="00F867DE" w:rsidRPr="002C0F16" w14:paraId="4CCDB1CD" w14:textId="77777777" w:rsidTr="00F867DE">
        <w:tc>
          <w:tcPr>
            <w:tcW w:w="4711" w:type="dxa"/>
          </w:tcPr>
          <w:p w14:paraId="7EEDC8C9" w14:textId="4B3F404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X</w:t>
            </w:r>
          </w:p>
        </w:tc>
        <w:tc>
          <w:tcPr>
            <w:tcW w:w="4649" w:type="dxa"/>
          </w:tcPr>
          <w:p w14:paraId="033CC13B" w14:textId="5490D64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X</w:t>
            </w:r>
          </w:p>
        </w:tc>
      </w:tr>
      <w:tr w:rsidR="00F867DE" w:rsidRPr="002C0F16" w14:paraId="11AC319D" w14:textId="77777777" w:rsidTr="00F867DE">
        <w:tc>
          <w:tcPr>
            <w:tcW w:w="4711" w:type="dxa"/>
          </w:tcPr>
          <w:p w14:paraId="09365E37" w14:textId="537850E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Regulación y Obligaciones</w:t>
            </w:r>
          </w:p>
        </w:tc>
        <w:tc>
          <w:tcPr>
            <w:tcW w:w="4649" w:type="dxa"/>
          </w:tcPr>
          <w:p w14:paraId="05C92C11" w14:textId="49C3BCB3"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Regulation and Obligations</w:t>
            </w:r>
          </w:p>
        </w:tc>
      </w:tr>
      <w:tr w:rsidR="00F867DE" w:rsidRPr="002C0F16" w14:paraId="01D7E2B2" w14:textId="77777777" w:rsidTr="00F867DE">
        <w:tc>
          <w:tcPr>
            <w:tcW w:w="4711" w:type="dxa"/>
          </w:tcPr>
          <w:p w14:paraId="15F818AC" w14:textId="752B0D9E"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TÍTULO TERCERO</w:t>
            </w:r>
          </w:p>
        </w:tc>
        <w:tc>
          <w:tcPr>
            <w:tcW w:w="4649" w:type="dxa"/>
          </w:tcPr>
          <w:p w14:paraId="69D740A5" w14:textId="0FB66A80"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THIRD TITLE</w:t>
            </w:r>
          </w:p>
        </w:tc>
      </w:tr>
      <w:tr w:rsidR="00F867DE" w:rsidRPr="002C0F16" w14:paraId="7B030DDB" w14:textId="77777777" w:rsidTr="00F867DE">
        <w:tc>
          <w:tcPr>
            <w:tcW w:w="4711" w:type="dxa"/>
          </w:tcPr>
          <w:p w14:paraId="52207797" w14:textId="64206CF7"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DE LAS DEMÁS ACTIVIDADES DE LA INDUSTRIA DE HIDROCARBUROS</w:t>
            </w:r>
          </w:p>
        </w:tc>
        <w:tc>
          <w:tcPr>
            <w:tcW w:w="4649" w:type="dxa"/>
          </w:tcPr>
          <w:p w14:paraId="4298CD26" w14:textId="4B012FF9"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ALL OTHER ACTIVITIES IN THE HYDROCARBON INDUSTRY</w:t>
            </w:r>
          </w:p>
        </w:tc>
      </w:tr>
      <w:tr w:rsidR="00F867DE" w:rsidRPr="002C0F16" w14:paraId="3E89A3A2" w14:textId="77777777" w:rsidTr="00F867DE">
        <w:tc>
          <w:tcPr>
            <w:tcW w:w="4711" w:type="dxa"/>
          </w:tcPr>
          <w:p w14:paraId="3F378FB5" w14:textId="079A410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w:t>
            </w:r>
          </w:p>
        </w:tc>
        <w:tc>
          <w:tcPr>
            <w:tcW w:w="4649" w:type="dxa"/>
          </w:tcPr>
          <w:p w14:paraId="5190E40D" w14:textId="43BE17D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w:t>
            </w:r>
          </w:p>
        </w:tc>
      </w:tr>
      <w:tr w:rsidR="00F867DE" w:rsidRPr="002C0F16" w14:paraId="3236B6BA" w14:textId="77777777" w:rsidTr="00F867DE">
        <w:tc>
          <w:tcPr>
            <w:tcW w:w="4711" w:type="dxa"/>
          </w:tcPr>
          <w:p w14:paraId="415760AF" w14:textId="6EA47814"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los Permisos</w:t>
            </w:r>
          </w:p>
        </w:tc>
        <w:tc>
          <w:tcPr>
            <w:tcW w:w="4649" w:type="dxa"/>
          </w:tcPr>
          <w:p w14:paraId="5024E374" w14:textId="369F783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Permits</w:t>
            </w:r>
          </w:p>
        </w:tc>
      </w:tr>
      <w:tr w:rsidR="00F867DE" w:rsidRPr="002C0F16" w14:paraId="794976BC" w14:textId="77777777" w:rsidTr="00F867DE">
        <w:tc>
          <w:tcPr>
            <w:tcW w:w="4711" w:type="dxa"/>
          </w:tcPr>
          <w:p w14:paraId="7ADB7CB6" w14:textId="1ED3FE5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514C5AEF" w14:textId="45D1556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58E1A139" w14:textId="77777777" w:rsidTr="00F867DE">
        <w:tc>
          <w:tcPr>
            <w:tcW w:w="4711" w:type="dxa"/>
          </w:tcPr>
          <w:p w14:paraId="125D0A6D" w14:textId="0AC7202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Operaciones en las Actividades Permisionadas</w:t>
            </w:r>
          </w:p>
        </w:tc>
        <w:tc>
          <w:tcPr>
            <w:tcW w:w="4649" w:type="dxa"/>
          </w:tcPr>
          <w:p w14:paraId="1665C274" w14:textId="142A0F34"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Operations in Permitted Activities</w:t>
            </w:r>
          </w:p>
        </w:tc>
      </w:tr>
      <w:tr w:rsidR="00F867DE" w:rsidRPr="002C0F16" w14:paraId="19101957" w14:textId="77777777" w:rsidTr="00F867DE">
        <w:tc>
          <w:tcPr>
            <w:tcW w:w="4711" w:type="dxa"/>
          </w:tcPr>
          <w:p w14:paraId="62F2F3AD" w14:textId="2C9601D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1D7B2A3D" w14:textId="11D1D85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1FACD2FA" w14:textId="77777777" w:rsidTr="00F867DE">
        <w:tc>
          <w:tcPr>
            <w:tcW w:w="4711" w:type="dxa"/>
          </w:tcPr>
          <w:p w14:paraId="19A8D468" w14:textId="3A6675A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Importación y Exportación</w:t>
            </w:r>
          </w:p>
        </w:tc>
        <w:tc>
          <w:tcPr>
            <w:tcW w:w="4649" w:type="dxa"/>
          </w:tcPr>
          <w:p w14:paraId="7CE95D4A" w14:textId="07BB4F0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Import and Export</w:t>
            </w:r>
          </w:p>
        </w:tc>
      </w:tr>
      <w:tr w:rsidR="00F867DE" w:rsidRPr="002C0F16" w14:paraId="7C95F88B" w14:textId="77777777" w:rsidTr="00F867DE">
        <w:tc>
          <w:tcPr>
            <w:tcW w:w="4711" w:type="dxa"/>
          </w:tcPr>
          <w:p w14:paraId="4426744C" w14:textId="37D4439F"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Tercera</w:t>
            </w:r>
          </w:p>
        </w:tc>
        <w:tc>
          <w:tcPr>
            <w:tcW w:w="4649" w:type="dxa"/>
          </w:tcPr>
          <w:p w14:paraId="12485949" w14:textId="6532F07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Third Section</w:t>
            </w:r>
          </w:p>
        </w:tc>
      </w:tr>
      <w:tr w:rsidR="00F867DE" w:rsidRPr="002C0F16" w14:paraId="20FB2BA4" w14:textId="77777777" w:rsidTr="00F867DE">
        <w:tc>
          <w:tcPr>
            <w:tcW w:w="4711" w:type="dxa"/>
          </w:tcPr>
          <w:p w14:paraId="0A056F5E" w14:textId="6E3F1C67"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Tratamiento y Refinación de Petróleo, del Procesamiento del Gas Natural y de la Formulación</w:t>
            </w:r>
          </w:p>
        </w:tc>
        <w:tc>
          <w:tcPr>
            <w:tcW w:w="4649" w:type="dxa"/>
          </w:tcPr>
          <w:p w14:paraId="0D8E23AC" w14:textId="06319734"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Treatment and Refining of Petroleum, from the Processing of Natural Gas and the Formulation</w:t>
            </w:r>
          </w:p>
        </w:tc>
      </w:tr>
      <w:tr w:rsidR="00F867DE" w:rsidRPr="002C0F16" w14:paraId="31ED2202" w14:textId="77777777" w:rsidTr="00F867DE">
        <w:tc>
          <w:tcPr>
            <w:tcW w:w="4711" w:type="dxa"/>
          </w:tcPr>
          <w:p w14:paraId="5EC60838" w14:textId="37825C1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Cuarta</w:t>
            </w:r>
          </w:p>
        </w:tc>
        <w:tc>
          <w:tcPr>
            <w:tcW w:w="4649" w:type="dxa"/>
          </w:tcPr>
          <w:p w14:paraId="6E363DC8" w14:textId="1F12B82B"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Fourth Section</w:t>
            </w:r>
          </w:p>
        </w:tc>
      </w:tr>
      <w:tr w:rsidR="00F867DE" w:rsidRPr="002C0F16" w14:paraId="3F75CF32" w14:textId="77777777" w:rsidTr="00F867DE">
        <w:tc>
          <w:tcPr>
            <w:tcW w:w="4711" w:type="dxa"/>
          </w:tcPr>
          <w:p w14:paraId="713E8668" w14:textId="2C3001BE"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Comercialización</w:t>
            </w:r>
          </w:p>
        </w:tc>
        <w:tc>
          <w:tcPr>
            <w:tcW w:w="4649" w:type="dxa"/>
          </w:tcPr>
          <w:p w14:paraId="06B74244" w14:textId="48BFB1B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Marketing</w:t>
            </w:r>
          </w:p>
        </w:tc>
      </w:tr>
      <w:tr w:rsidR="00F867DE" w:rsidRPr="002C0F16" w14:paraId="5D59D9F2" w14:textId="77777777" w:rsidTr="00F867DE">
        <w:tc>
          <w:tcPr>
            <w:tcW w:w="4711" w:type="dxa"/>
          </w:tcPr>
          <w:p w14:paraId="259A7640" w14:textId="7D125FB8"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Quinta</w:t>
            </w:r>
          </w:p>
        </w:tc>
        <w:tc>
          <w:tcPr>
            <w:tcW w:w="4649" w:type="dxa"/>
          </w:tcPr>
          <w:p w14:paraId="31B73ADC" w14:textId="44EF21A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Fifth Section</w:t>
            </w:r>
          </w:p>
        </w:tc>
      </w:tr>
      <w:tr w:rsidR="00F867DE" w:rsidRPr="002C0F16" w14:paraId="108AFBD9" w14:textId="77777777" w:rsidTr="00F867DE">
        <w:tc>
          <w:tcPr>
            <w:tcW w:w="4711" w:type="dxa"/>
          </w:tcPr>
          <w:p w14:paraId="5B0AF274" w14:textId="24EB2823"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lastRenderedPageBreak/>
              <w:t>Del Almacenamiento</w:t>
            </w:r>
          </w:p>
        </w:tc>
        <w:tc>
          <w:tcPr>
            <w:tcW w:w="4649" w:type="dxa"/>
          </w:tcPr>
          <w:p w14:paraId="4E04284D" w14:textId="6C6F9516"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Storage</w:t>
            </w:r>
          </w:p>
        </w:tc>
      </w:tr>
      <w:tr w:rsidR="00F867DE" w:rsidRPr="002C0F16" w14:paraId="5000F28B" w14:textId="77777777" w:rsidTr="00F867DE">
        <w:tc>
          <w:tcPr>
            <w:tcW w:w="4711" w:type="dxa"/>
          </w:tcPr>
          <w:p w14:paraId="0F59620F" w14:textId="0FB76D0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Sexta</w:t>
            </w:r>
          </w:p>
        </w:tc>
        <w:tc>
          <w:tcPr>
            <w:tcW w:w="4649" w:type="dxa"/>
          </w:tcPr>
          <w:p w14:paraId="73138C79" w14:textId="0ADF292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Sixth Section</w:t>
            </w:r>
          </w:p>
        </w:tc>
      </w:tr>
      <w:tr w:rsidR="00F867DE" w:rsidRPr="002C0F16" w14:paraId="1558AAFA" w14:textId="77777777" w:rsidTr="00F867DE">
        <w:tc>
          <w:tcPr>
            <w:tcW w:w="4711" w:type="dxa"/>
          </w:tcPr>
          <w:p w14:paraId="4F65B09C" w14:textId="2E3B3F3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Compresión, Descompresión, Licuefacción y Regasificación de Gas Natural</w:t>
            </w:r>
          </w:p>
        </w:tc>
        <w:tc>
          <w:tcPr>
            <w:tcW w:w="4649" w:type="dxa"/>
          </w:tcPr>
          <w:p w14:paraId="0B354304" w14:textId="31F53710"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Compression, Decompression, Liquefaction and Regasification of Natural Gas</w:t>
            </w:r>
          </w:p>
        </w:tc>
      </w:tr>
      <w:tr w:rsidR="00F867DE" w:rsidRPr="002C0F16" w14:paraId="7C29D24E" w14:textId="77777777" w:rsidTr="00F867DE">
        <w:tc>
          <w:tcPr>
            <w:tcW w:w="4711" w:type="dxa"/>
          </w:tcPr>
          <w:p w14:paraId="05A3E6FB" w14:textId="274E33F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Séptima</w:t>
            </w:r>
          </w:p>
        </w:tc>
        <w:tc>
          <w:tcPr>
            <w:tcW w:w="4649" w:type="dxa"/>
          </w:tcPr>
          <w:p w14:paraId="7BE0DA76" w14:textId="7E2D15D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Seventh Section</w:t>
            </w:r>
          </w:p>
        </w:tc>
      </w:tr>
      <w:tr w:rsidR="00F867DE" w:rsidRPr="002C0F16" w14:paraId="2780ACBC" w14:textId="77777777" w:rsidTr="00F867DE">
        <w:tc>
          <w:tcPr>
            <w:tcW w:w="4711" w:type="dxa"/>
          </w:tcPr>
          <w:p w14:paraId="6B75FAD6" w14:textId="22AC14B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Transporte</w:t>
            </w:r>
          </w:p>
        </w:tc>
        <w:tc>
          <w:tcPr>
            <w:tcW w:w="4649" w:type="dxa"/>
          </w:tcPr>
          <w:p w14:paraId="2824D15D" w14:textId="3EA3F6D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Transportation</w:t>
            </w:r>
          </w:p>
        </w:tc>
      </w:tr>
      <w:tr w:rsidR="00F867DE" w:rsidRPr="002C0F16" w14:paraId="7CE471F5" w14:textId="77777777" w:rsidTr="00F867DE">
        <w:tc>
          <w:tcPr>
            <w:tcW w:w="4711" w:type="dxa"/>
          </w:tcPr>
          <w:p w14:paraId="0E6F7ADF" w14:textId="33408233"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Octava</w:t>
            </w:r>
          </w:p>
        </w:tc>
        <w:tc>
          <w:tcPr>
            <w:tcW w:w="4649" w:type="dxa"/>
          </w:tcPr>
          <w:p w14:paraId="65C976EE" w14:textId="4CCFA2F0"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Eighth Section</w:t>
            </w:r>
          </w:p>
        </w:tc>
      </w:tr>
      <w:tr w:rsidR="00F867DE" w:rsidRPr="002C0F16" w14:paraId="311A71F1" w14:textId="77777777" w:rsidTr="00F867DE">
        <w:tc>
          <w:tcPr>
            <w:tcW w:w="4711" w:type="dxa"/>
          </w:tcPr>
          <w:p w14:paraId="0636A95B" w14:textId="54AAA4CE"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Distribución</w:t>
            </w:r>
          </w:p>
        </w:tc>
        <w:tc>
          <w:tcPr>
            <w:tcW w:w="4649" w:type="dxa"/>
          </w:tcPr>
          <w:p w14:paraId="7A0BC892" w14:textId="318167F3"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Distribution</w:t>
            </w:r>
          </w:p>
        </w:tc>
      </w:tr>
      <w:tr w:rsidR="00F867DE" w:rsidRPr="002C0F16" w14:paraId="0B4EEAC1" w14:textId="77777777" w:rsidTr="00F867DE">
        <w:tc>
          <w:tcPr>
            <w:tcW w:w="4711" w:type="dxa"/>
          </w:tcPr>
          <w:p w14:paraId="5E91E96A" w14:textId="4C7DAB72"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Novena</w:t>
            </w:r>
          </w:p>
        </w:tc>
        <w:tc>
          <w:tcPr>
            <w:tcW w:w="4649" w:type="dxa"/>
          </w:tcPr>
          <w:p w14:paraId="1EB4708F" w14:textId="0C2709E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Ninth Section</w:t>
            </w:r>
          </w:p>
        </w:tc>
      </w:tr>
      <w:tr w:rsidR="00F867DE" w:rsidRPr="002C0F16" w14:paraId="35ED5F57" w14:textId="77777777" w:rsidTr="00F867DE">
        <w:tc>
          <w:tcPr>
            <w:tcW w:w="4711" w:type="dxa"/>
          </w:tcPr>
          <w:p w14:paraId="6D90A88E" w14:textId="50B3ECC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Expendio al Público</w:t>
            </w:r>
          </w:p>
        </w:tc>
        <w:tc>
          <w:tcPr>
            <w:tcW w:w="4649" w:type="dxa"/>
          </w:tcPr>
          <w:p w14:paraId="619F4380" w14:textId="218FBD4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Dispatch to the Public</w:t>
            </w:r>
          </w:p>
        </w:tc>
      </w:tr>
      <w:tr w:rsidR="00F867DE" w:rsidRPr="002C0F16" w14:paraId="7F01105F" w14:textId="77777777" w:rsidTr="00F867DE">
        <w:tc>
          <w:tcPr>
            <w:tcW w:w="4711" w:type="dxa"/>
          </w:tcPr>
          <w:p w14:paraId="6E6F5E46" w14:textId="225C1F1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Décima</w:t>
            </w:r>
          </w:p>
        </w:tc>
        <w:tc>
          <w:tcPr>
            <w:tcW w:w="4649" w:type="dxa"/>
          </w:tcPr>
          <w:p w14:paraId="4180A32F" w14:textId="43224D5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Tenth Section</w:t>
            </w:r>
          </w:p>
        </w:tc>
      </w:tr>
      <w:tr w:rsidR="00F867DE" w:rsidRPr="002C0F16" w14:paraId="2CF757F2" w14:textId="77777777" w:rsidTr="00F867DE">
        <w:tc>
          <w:tcPr>
            <w:tcW w:w="4711" w:type="dxa"/>
          </w:tcPr>
          <w:p w14:paraId="66DE0598" w14:textId="15FEBA9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Despacho para Autoconsumo</w:t>
            </w:r>
          </w:p>
        </w:tc>
        <w:tc>
          <w:tcPr>
            <w:tcW w:w="4649" w:type="dxa"/>
          </w:tcPr>
          <w:p w14:paraId="6E898670" w14:textId="6849B3A2"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Dispatch for Self-Consumption</w:t>
            </w:r>
          </w:p>
        </w:tc>
      </w:tr>
      <w:tr w:rsidR="00F867DE" w:rsidRPr="002C0F16" w14:paraId="2D043476" w14:textId="77777777" w:rsidTr="00F867DE">
        <w:tc>
          <w:tcPr>
            <w:tcW w:w="4711" w:type="dxa"/>
          </w:tcPr>
          <w:p w14:paraId="44401E18" w14:textId="6E7D3A32"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Décima Primera</w:t>
            </w:r>
          </w:p>
        </w:tc>
        <w:tc>
          <w:tcPr>
            <w:tcW w:w="4649" w:type="dxa"/>
          </w:tcPr>
          <w:p w14:paraId="6ACF47D9" w14:textId="552E8307"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 xml:space="preserve">Eleventh Section </w:t>
            </w:r>
          </w:p>
        </w:tc>
      </w:tr>
      <w:tr w:rsidR="00F867DE" w:rsidRPr="002C0F16" w14:paraId="29C7F30D" w14:textId="77777777" w:rsidTr="00F867DE">
        <w:tc>
          <w:tcPr>
            <w:tcW w:w="4711" w:type="dxa"/>
          </w:tcPr>
          <w:p w14:paraId="155D6A9C" w14:textId="74658EE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Distribución de Combustibles para Aeronaves</w:t>
            </w:r>
          </w:p>
        </w:tc>
        <w:tc>
          <w:tcPr>
            <w:tcW w:w="4649" w:type="dxa"/>
          </w:tcPr>
          <w:p w14:paraId="3BCFB10C" w14:textId="77288C02"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Distribution of Aircraft Fuels</w:t>
            </w:r>
          </w:p>
        </w:tc>
      </w:tr>
      <w:tr w:rsidR="00F867DE" w:rsidRPr="002C0F16" w14:paraId="2D853344" w14:textId="77777777" w:rsidTr="00F867DE">
        <w:tc>
          <w:tcPr>
            <w:tcW w:w="4711" w:type="dxa"/>
          </w:tcPr>
          <w:p w14:paraId="76C3FD74" w14:textId="6990233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III</w:t>
            </w:r>
          </w:p>
        </w:tc>
        <w:tc>
          <w:tcPr>
            <w:tcW w:w="4649" w:type="dxa"/>
          </w:tcPr>
          <w:p w14:paraId="57DF5322" w14:textId="59A48E0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III</w:t>
            </w:r>
          </w:p>
        </w:tc>
      </w:tr>
      <w:tr w:rsidR="00F867DE" w:rsidRPr="002C0F16" w14:paraId="4095081F" w14:textId="77777777" w:rsidTr="00F867DE">
        <w:tc>
          <w:tcPr>
            <w:tcW w:w="4711" w:type="dxa"/>
          </w:tcPr>
          <w:p w14:paraId="6A0C9177" w14:textId="18E9D5E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Procedimiento para la Obtención de Permisos</w:t>
            </w:r>
          </w:p>
        </w:tc>
        <w:tc>
          <w:tcPr>
            <w:tcW w:w="4649" w:type="dxa"/>
          </w:tcPr>
          <w:p w14:paraId="7F35734B" w14:textId="5DC092B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Procedure for Obtaining Permits</w:t>
            </w:r>
          </w:p>
        </w:tc>
      </w:tr>
      <w:tr w:rsidR="00F867DE" w:rsidRPr="002C0F16" w14:paraId="34F483C8" w14:textId="77777777" w:rsidTr="00F867DE">
        <w:tc>
          <w:tcPr>
            <w:tcW w:w="4711" w:type="dxa"/>
          </w:tcPr>
          <w:p w14:paraId="30655B1D" w14:textId="3FC9DB2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IV</w:t>
            </w:r>
          </w:p>
        </w:tc>
        <w:tc>
          <w:tcPr>
            <w:tcW w:w="4649" w:type="dxa"/>
          </w:tcPr>
          <w:p w14:paraId="3B6536CF" w14:textId="3DE99BD2"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IV</w:t>
            </w:r>
          </w:p>
        </w:tc>
      </w:tr>
      <w:tr w:rsidR="00F867DE" w:rsidRPr="002C0F16" w14:paraId="6A4694D7" w14:textId="77777777" w:rsidTr="00F867DE">
        <w:tc>
          <w:tcPr>
            <w:tcW w:w="4711" w:type="dxa"/>
          </w:tcPr>
          <w:p w14:paraId="10B5AF0C" w14:textId="460B9EA8"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Modificaciones y Actualizaciones a los Permisos</w:t>
            </w:r>
          </w:p>
        </w:tc>
        <w:tc>
          <w:tcPr>
            <w:tcW w:w="4649" w:type="dxa"/>
          </w:tcPr>
          <w:p w14:paraId="25092113" w14:textId="46D264EE"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Modifications and Updates to Permits</w:t>
            </w:r>
          </w:p>
        </w:tc>
      </w:tr>
      <w:tr w:rsidR="00F867DE" w:rsidRPr="002C0F16" w14:paraId="4470A185" w14:textId="77777777" w:rsidTr="00F867DE">
        <w:tc>
          <w:tcPr>
            <w:tcW w:w="4711" w:type="dxa"/>
          </w:tcPr>
          <w:p w14:paraId="30C8EC20" w14:textId="1076C66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2717504F" w14:textId="37A5D28E"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17211A5A" w14:textId="77777777" w:rsidTr="00F867DE">
        <w:tc>
          <w:tcPr>
            <w:tcW w:w="4711" w:type="dxa"/>
          </w:tcPr>
          <w:p w14:paraId="2FF13559" w14:textId="6F8B5E7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Modificaciones</w:t>
            </w:r>
          </w:p>
        </w:tc>
        <w:tc>
          <w:tcPr>
            <w:tcW w:w="4649" w:type="dxa"/>
          </w:tcPr>
          <w:p w14:paraId="53985C7D" w14:textId="50B3BCA4"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Modifications</w:t>
            </w:r>
          </w:p>
        </w:tc>
      </w:tr>
      <w:tr w:rsidR="00F867DE" w:rsidRPr="002C0F16" w14:paraId="6B6935C6" w14:textId="77777777" w:rsidTr="00F867DE">
        <w:tc>
          <w:tcPr>
            <w:tcW w:w="4711" w:type="dxa"/>
          </w:tcPr>
          <w:p w14:paraId="6BFCBA98" w14:textId="1A58CF73"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598F597F" w14:textId="5C1B298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757D5AFA" w14:textId="77777777" w:rsidTr="00F867DE">
        <w:tc>
          <w:tcPr>
            <w:tcW w:w="4711" w:type="dxa"/>
          </w:tcPr>
          <w:p w14:paraId="3E40E890" w14:textId="1914BCBE"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Actualizaciones y el Cambio de Control</w:t>
            </w:r>
          </w:p>
        </w:tc>
        <w:tc>
          <w:tcPr>
            <w:tcW w:w="4649" w:type="dxa"/>
          </w:tcPr>
          <w:p w14:paraId="5B26AB10" w14:textId="4B998E4E"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Updates and Change of Control</w:t>
            </w:r>
          </w:p>
        </w:tc>
      </w:tr>
      <w:tr w:rsidR="00F867DE" w:rsidRPr="002C0F16" w14:paraId="182ABB66" w14:textId="77777777" w:rsidTr="00F867DE">
        <w:tc>
          <w:tcPr>
            <w:tcW w:w="4711" w:type="dxa"/>
          </w:tcPr>
          <w:p w14:paraId="499F12CC" w14:textId="5CF5128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V</w:t>
            </w:r>
          </w:p>
        </w:tc>
        <w:tc>
          <w:tcPr>
            <w:tcW w:w="4649" w:type="dxa"/>
          </w:tcPr>
          <w:p w14:paraId="76A0F6D8" w14:textId="40D5078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V</w:t>
            </w:r>
          </w:p>
        </w:tc>
      </w:tr>
      <w:tr w:rsidR="00F867DE" w:rsidRPr="002C0F16" w14:paraId="68A8CB4B" w14:textId="77777777" w:rsidTr="00F867DE">
        <w:tc>
          <w:tcPr>
            <w:tcW w:w="4711" w:type="dxa"/>
          </w:tcPr>
          <w:p w14:paraId="3A640681" w14:textId="478FC11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Cesiones de los Permisos</w:t>
            </w:r>
          </w:p>
        </w:tc>
        <w:tc>
          <w:tcPr>
            <w:tcW w:w="4649" w:type="dxa"/>
          </w:tcPr>
          <w:p w14:paraId="2A5A6386" w14:textId="70EFFF93"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Transfer of Permits</w:t>
            </w:r>
          </w:p>
        </w:tc>
      </w:tr>
      <w:tr w:rsidR="00F867DE" w:rsidRPr="002C0F16" w14:paraId="3B12F83B" w14:textId="77777777" w:rsidTr="00F867DE">
        <w:tc>
          <w:tcPr>
            <w:tcW w:w="4711" w:type="dxa"/>
          </w:tcPr>
          <w:p w14:paraId="2E8BDE41" w14:textId="422C9147"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VI</w:t>
            </w:r>
          </w:p>
        </w:tc>
        <w:tc>
          <w:tcPr>
            <w:tcW w:w="4649" w:type="dxa"/>
          </w:tcPr>
          <w:p w14:paraId="46DA2D91" w14:textId="42CE39C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VI</w:t>
            </w:r>
          </w:p>
        </w:tc>
      </w:tr>
      <w:tr w:rsidR="00F867DE" w:rsidRPr="002C0F16" w14:paraId="1287CC2D" w14:textId="77777777" w:rsidTr="00F867DE">
        <w:tc>
          <w:tcPr>
            <w:tcW w:w="4711" w:type="dxa"/>
          </w:tcPr>
          <w:p w14:paraId="61C9C021" w14:textId="7C8B006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Contenido de los Títulos de Permisos</w:t>
            </w:r>
          </w:p>
        </w:tc>
        <w:tc>
          <w:tcPr>
            <w:tcW w:w="4649" w:type="dxa"/>
          </w:tcPr>
          <w:p w14:paraId="13DCA3E2" w14:textId="7B9B2DFB"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Content of the Permit Titles</w:t>
            </w:r>
          </w:p>
        </w:tc>
      </w:tr>
      <w:tr w:rsidR="00F867DE" w:rsidRPr="002C0F16" w14:paraId="27D2D04D" w14:textId="77777777" w:rsidTr="00F867DE">
        <w:tc>
          <w:tcPr>
            <w:tcW w:w="4711" w:type="dxa"/>
          </w:tcPr>
          <w:p w14:paraId="7EB0A13A" w14:textId="0B3FE9C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VII</w:t>
            </w:r>
          </w:p>
        </w:tc>
        <w:tc>
          <w:tcPr>
            <w:tcW w:w="4649" w:type="dxa"/>
          </w:tcPr>
          <w:p w14:paraId="592627D4" w14:textId="2DF91B7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VII</w:t>
            </w:r>
          </w:p>
        </w:tc>
      </w:tr>
      <w:tr w:rsidR="00F867DE" w:rsidRPr="002C0F16" w14:paraId="27F222B5" w14:textId="77777777" w:rsidTr="00F867DE">
        <w:tc>
          <w:tcPr>
            <w:tcW w:w="4711" w:type="dxa"/>
          </w:tcPr>
          <w:p w14:paraId="0A223652" w14:textId="489E79D8"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Obligaciones de la Persona Permisionaria</w:t>
            </w:r>
          </w:p>
        </w:tc>
        <w:tc>
          <w:tcPr>
            <w:tcW w:w="4649" w:type="dxa"/>
          </w:tcPr>
          <w:p w14:paraId="5D8A9139" w14:textId="02B52B5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Obligations of the Permit Holder</w:t>
            </w:r>
          </w:p>
        </w:tc>
      </w:tr>
      <w:tr w:rsidR="00F867DE" w:rsidRPr="002C0F16" w14:paraId="3544B1C5" w14:textId="77777777" w:rsidTr="00F867DE">
        <w:tc>
          <w:tcPr>
            <w:tcW w:w="4711" w:type="dxa"/>
          </w:tcPr>
          <w:p w14:paraId="0F2A3BEB" w14:textId="7B4D44B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VIII</w:t>
            </w:r>
          </w:p>
        </w:tc>
        <w:tc>
          <w:tcPr>
            <w:tcW w:w="4649" w:type="dxa"/>
          </w:tcPr>
          <w:p w14:paraId="624968C1" w14:textId="5E52B1B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VIII</w:t>
            </w:r>
          </w:p>
        </w:tc>
      </w:tr>
      <w:tr w:rsidR="00F867DE" w:rsidRPr="002C0F16" w14:paraId="0804624B" w14:textId="77777777" w:rsidTr="00F867DE">
        <w:tc>
          <w:tcPr>
            <w:tcW w:w="4711" w:type="dxa"/>
          </w:tcPr>
          <w:p w14:paraId="27649D7F" w14:textId="2579C7E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los Sistemas Integrados</w:t>
            </w:r>
          </w:p>
        </w:tc>
        <w:tc>
          <w:tcPr>
            <w:tcW w:w="4649" w:type="dxa"/>
          </w:tcPr>
          <w:p w14:paraId="59FADD30" w14:textId="4BF5ADE6"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Integrated Systems</w:t>
            </w:r>
          </w:p>
        </w:tc>
      </w:tr>
      <w:tr w:rsidR="00F867DE" w:rsidRPr="002C0F16" w14:paraId="135DEEE8" w14:textId="77777777" w:rsidTr="00F867DE">
        <w:tc>
          <w:tcPr>
            <w:tcW w:w="4711" w:type="dxa"/>
          </w:tcPr>
          <w:p w14:paraId="2B3B8148" w14:textId="2B1D1C02"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24DB7D2D" w14:textId="16C84F32"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3DC45010" w14:textId="77777777" w:rsidTr="00F867DE">
        <w:tc>
          <w:tcPr>
            <w:tcW w:w="4711" w:type="dxa"/>
          </w:tcPr>
          <w:p w14:paraId="15A2FFAB" w14:textId="1D92FC2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Creación de Sistemas Integrados</w:t>
            </w:r>
          </w:p>
        </w:tc>
        <w:tc>
          <w:tcPr>
            <w:tcW w:w="4649" w:type="dxa"/>
          </w:tcPr>
          <w:p w14:paraId="2936FE3E" w14:textId="2AE0D0A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Creation of Integrated Systems</w:t>
            </w:r>
          </w:p>
        </w:tc>
      </w:tr>
      <w:tr w:rsidR="00F867DE" w:rsidRPr="002C0F16" w14:paraId="6E4EFCF0" w14:textId="77777777" w:rsidTr="00F867DE">
        <w:tc>
          <w:tcPr>
            <w:tcW w:w="4711" w:type="dxa"/>
          </w:tcPr>
          <w:p w14:paraId="7F21003E" w14:textId="0DB1075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3013451B" w14:textId="5B723278"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564BCD9D" w14:textId="77777777" w:rsidTr="00F867DE">
        <w:tc>
          <w:tcPr>
            <w:tcW w:w="4711" w:type="dxa"/>
          </w:tcPr>
          <w:p w14:paraId="674A851C" w14:textId="47071E74"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los Planes Quinquenales de Expansión y Optimización de la Infraestructura de Transporte por medio de Ductos y Almacenamiento, y de Expansión del Sistema de Transporte y Almacenamiento Nacional Integrado de Gas Natural</w:t>
            </w:r>
          </w:p>
        </w:tc>
        <w:tc>
          <w:tcPr>
            <w:tcW w:w="4649" w:type="dxa"/>
          </w:tcPr>
          <w:p w14:paraId="30E1822D" w14:textId="77282174"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Five-Year Plans for the Expansion and Optimization of Transportation Infrastructure through Pipelines and Storage, and for the Expansion of the National Integrated Transportation and Storage System of Natural Gas</w:t>
            </w:r>
          </w:p>
        </w:tc>
      </w:tr>
      <w:tr w:rsidR="00F867DE" w:rsidRPr="002C0F16" w14:paraId="763EBA2A" w14:textId="77777777" w:rsidTr="00F867DE">
        <w:tc>
          <w:tcPr>
            <w:tcW w:w="4711" w:type="dxa"/>
          </w:tcPr>
          <w:p w14:paraId="351BF500" w14:textId="59984CC2"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IX</w:t>
            </w:r>
          </w:p>
        </w:tc>
        <w:tc>
          <w:tcPr>
            <w:tcW w:w="4649" w:type="dxa"/>
          </w:tcPr>
          <w:p w14:paraId="0C92C93C" w14:textId="42C5A4C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IX</w:t>
            </w:r>
          </w:p>
        </w:tc>
      </w:tr>
      <w:tr w:rsidR="00F867DE" w:rsidRPr="002C0F16" w14:paraId="53058540" w14:textId="77777777" w:rsidTr="00F867DE">
        <w:tc>
          <w:tcPr>
            <w:tcW w:w="4711" w:type="dxa"/>
          </w:tcPr>
          <w:p w14:paraId="5F78E660" w14:textId="334FABF4"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Regulación Económica</w:t>
            </w:r>
          </w:p>
        </w:tc>
        <w:tc>
          <w:tcPr>
            <w:tcW w:w="4649" w:type="dxa"/>
          </w:tcPr>
          <w:p w14:paraId="3C2ADA4D" w14:textId="12848FE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Economic Regulation</w:t>
            </w:r>
          </w:p>
        </w:tc>
      </w:tr>
      <w:tr w:rsidR="00F867DE" w:rsidRPr="002C0F16" w14:paraId="33E26BDA" w14:textId="77777777" w:rsidTr="00F867DE">
        <w:tc>
          <w:tcPr>
            <w:tcW w:w="4711" w:type="dxa"/>
          </w:tcPr>
          <w:p w14:paraId="15D5DAD1" w14:textId="02923A3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48385359" w14:textId="3ED0E00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18131AEB" w14:textId="77777777" w:rsidTr="00F867DE">
        <w:tc>
          <w:tcPr>
            <w:tcW w:w="4711" w:type="dxa"/>
          </w:tcPr>
          <w:p w14:paraId="253DC76D" w14:textId="6E2FF47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los Términos y Condiciones para la Prestación de los Servicios</w:t>
            </w:r>
          </w:p>
        </w:tc>
        <w:tc>
          <w:tcPr>
            <w:tcW w:w="4649" w:type="dxa"/>
          </w:tcPr>
          <w:p w14:paraId="4E185F76" w14:textId="40C179D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Terms and Conditions for the Provision of Services</w:t>
            </w:r>
          </w:p>
        </w:tc>
      </w:tr>
      <w:tr w:rsidR="00F867DE" w:rsidRPr="002C0F16" w14:paraId="6F64774B" w14:textId="77777777" w:rsidTr="00F867DE">
        <w:tc>
          <w:tcPr>
            <w:tcW w:w="4711" w:type="dxa"/>
          </w:tcPr>
          <w:p w14:paraId="2FFC762D" w14:textId="596C822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034E56CC" w14:textId="32C8EEF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6D24F484" w14:textId="77777777" w:rsidTr="00F867DE">
        <w:tc>
          <w:tcPr>
            <w:tcW w:w="4711" w:type="dxa"/>
          </w:tcPr>
          <w:p w14:paraId="7C41785F" w14:textId="6184AF2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los Contratos de Comercialización</w:t>
            </w:r>
          </w:p>
        </w:tc>
        <w:tc>
          <w:tcPr>
            <w:tcW w:w="4649" w:type="dxa"/>
          </w:tcPr>
          <w:p w14:paraId="76B3DCA7" w14:textId="3A3F7BA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Marketing Contracts</w:t>
            </w:r>
          </w:p>
        </w:tc>
      </w:tr>
      <w:tr w:rsidR="00F867DE" w:rsidRPr="002C0F16" w14:paraId="2E49602E" w14:textId="77777777" w:rsidTr="00F867DE">
        <w:tc>
          <w:tcPr>
            <w:tcW w:w="4711" w:type="dxa"/>
          </w:tcPr>
          <w:p w14:paraId="3DC563EA" w14:textId="30786AE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Tercera</w:t>
            </w:r>
          </w:p>
        </w:tc>
        <w:tc>
          <w:tcPr>
            <w:tcW w:w="4649" w:type="dxa"/>
          </w:tcPr>
          <w:p w14:paraId="5896DA81" w14:textId="16A9C53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Third Section</w:t>
            </w:r>
          </w:p>
        </w:tc>
      </w:tr>
      <w:tr w:rsidR="00F867DE" w:rsidRPr="002C0F16" w14:paraId="1E6E8DB3" w14:textId="77777777" w:rsidTr="00F867DE">
        <w:tc>
          <w:tcPr>
            <w:tcW w:w="4711" w:type="dxa"/>
          </w:tcPr>
          <w:p w14:paraId="4FFB8BF8" w14:textId="0A0053CF"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Suspensión del Servicio o Actividad</w:t>
            </w:r>
          </w:p>
        </w:tc>
        <w:tc>
          <w:tcPr>
            <w:tcW w:w="4649" w:type="dxa"/>
          </w:tcPr>
          <w:p w14:paraId="003578F9" w14:textId="499BEAD7"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Suspension of Service or Activity</w:t>
            </w:r>
          </w:p>
        </w:tc>
      </w:tr>
      <w:tr w:rsidR="00F867DE" w:rsidRPr="002C0F16" w14:paraId="2D0E53FA" w14:textId="77777777" w:rsidTr="00F867DE">
        <w:tc>
          <w:tcPr>
            <w:tcW w:w="4711" w:type="dxa"/>
          </w:tcPr>
          <w:p w14:paraId="21AA5FEA" w14:textId="7D8D0E3F"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Cuarta</w:t>
            </w:r>
          </w:p>
        </w:tc>
        <w:tc>
          <w:tcPr>
            <w:tcW w:w="4649" w:type="dxa"/>
          </w:tcPr>
          <w:p w14:paraId="202E58B8" w14:textId="2768866B"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Fourth Section</w:t>
            </w:r>
          </w:p>
        </w:tc>
      </w:tr>
      <w:tr w:rsidR="00F867DE" w:rsidRPr="002C0F16" w14:paraId="46E10DCD" w14:textId="77777777" w:rsidTr="00F867DE">
        <w:tc>
          <w:tcPr>
            <w:tcW w:w="4711" w:type="dxa"/>
          </w:tcPr>
          <w:p w14:paraId="19B85C17" w14:textId="6FF97057"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Acceso Abierto No Indebidamente Discriminatorio</w:t>
            </w:r>
          </w:p>
        </w:tc>
        <w:tc>
          <w:tcPr>
            <w:tcW w:w="4649" w:type="dxa"/>
          </w:tcPr>
          <w:p w14:paraId="50B18FA8" w14:textId="4F579FA8"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Non-Unduly Discriminatory Open Access</w:t>
            </w:r>
          </w:p>
        </w:tc>
      </w:tr>
      <w:tr w:rsidR="00F867DE" w:rsidRPr="002C0F16" w14:paraId="4FE0AAE4" w14:textId="77777777" w:rsidTr="00F867DE">
        <w:tc>
          <w:tcPr>
            <w:tcW w:w="4711" w:type="dxa"/>
          </w:tcPr>
          <w:p w14:paraId="42DB4F48" w14:textId="6F94D927"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Quinta</w:t>
            </w:r>
          </w:p>
        </w:tc>
        <w:tc>
          <w:tcPr>
            <w:tcW w:w="4649" w:type="dxa"/>
          </w:tcPr>
          <w:p w14:paraId="727D66E1" w14:textId="3C5BA74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Fifth Section</w:t>
            </w:r>
          </w:p>
        </w:tc>
      </w:tr>
      <w:tr w:rsidR="00F867DE" w:rsidRPr="002C0F16" w14:paraId="27C81C0B" w14:textId="77777777" w:rsidTr="00F867DE">
        <w:tc>
          <w:tcPr>
            <w:tcW w:w="4711" w:type="dxa"/>
          </w:tcPr>
          <w:p w14:paraId="7908CF0E" w14:textId="232E11D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Contraprestaciones, Precios y Tarifas</w:t>
            </w:r>
          </w:p>
        </w:tc>
        <w:tc>
          <w:tcPr>
            <w:tcW w:w="4649" w:type="dxa"/>
          </w:tcPr>
          <w:p w14:paraId="61FC514F" w14:textId="396E0E10"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Regarding Considerations, Prices and Rates</w:t>
            </w:r>
          </w:p>
        </w:tc>
      </w:tr>
      <w:tr w:rsidR="00F867DE" w:rsidRPr="002C0F16" w14:paraId="02F15B3F" w14:textId="77777777" w:rsidTr="00F867DE">
        <w:tc>
          <w:tcPr>
            <w:tcW w:w="4711" w:type="dxa"/>
          </w:tcPr>
          <w:p w14:paraId="42E88B64" w14:textId="4E1E49D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Sexta</w:t>
            </w:r>
          </w:p>
        </w:tc>
        <w:tc>
          <w:tcPr>
            <w:tcW w:w="4649" w:type="dxa"/>
          </w:tcPr>
          <w:p w14:paraId="6E385A69" w14:textId="7B028DC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Sixth Section</w:t>
            </w:r>
          </w:p>
        </w:tc>
      </w:tr>
      <w:tr w:rsidR="00F867DE" w:rsidRPr="002C0F16" w14:paraId="15CB4EF9" w14:textId="77777777" w:rsidTr="00F867DE">
        <w:tc>
          <w:tcPr>
            <w:tcW w:w="4711" w:type="dxa"/>
          </w:tcPr>
          <w:p w14:paraId="59711EA1" w14:textId="2C05BD4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Licitaciones del CENAGAS</w:t>
            </w:r>
          </w:p>
        </w:tc>
        <w:tc>
          <w:tcPr>
            <w:tcW w:w="4649" w:type="dxa"/>
          </w:tcPr>
          <w:p w14:paraId="63B0EEF0" w14:textId="733ADFE6"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 xml:space="preserve">Bids From CENAGAS </w:t>
            </w:r>
          </w:p>
        </w:tc>
      </w:tr>
      <w:tr w:rsidR="00F867DE" w:rsidRPr="002C0F16" w14:paraId="4F014C3B" w14:textId="77777777" w:rsidTr="00F867DE">
        <w:tc>
          <w:tcPr>
            <w:tcW w:w="4711" w:type="dxa"/>
          </w:tcPr>
          <w:p w14:paraId="33A15B82" w14:textId="34AC609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Séptima</w:t>
            </w:r>
          </w:p>
        </w:tc>
        <w:tc>
          <w:tcPr>
            <w:tcW w:w="4649" w:type="dxa"/>
          </w:tcPr>
          <w:p w14:paraId="504054C8" w14:textId="5403036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Seventh Section</w:t>
            </w:r>
          </w:p>
        </w:tc>
      </w:tr>
      <w:tr w:rsidR="00F867DE" w:rsidRPr="002C0F16" w14:paraId="679D384D" w14:textId="77777777" w:rsidTr="00F867DE">
        <w:tc>
          <w:tcPr>
            <w:tcW w:w="4711" w:type="dxa"/>
          </w:tcPr>
          <w:p w14:paraId="7FD64986" w14:textId="12A78D1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Opinión de la Secretaría o la Comisión sobre las Licitaciones de las Empresas Públicas del Estado</w:t>
            </w:r>
          </w:p>
        </w:tc>
        <w:tc>
          <w:tcPr>
            <w:tcW w:w="4649" w:type="dxa"/>
          </w:tcPr>
          <w:p w14:paraId="5ACF8E91" w14:textId="40DCAE68"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Opinion of the Secretary or the Commission on Bids for State-Owned Enterprises</w:t>
            </w:r>
          </w:p>
        </w:tc>
      </w:tr>
      <w:tr w:rsidR="00F867DE" w:rsidRPr="002C0F16" w14:paraId="3F1BD57D" w14:textId="77777777" w:rsidTr="00F867DE">
        <w:tc>
          <w:tcPr>
            <w:tcW w:w="4711" w:type="dxa"/>
          </w:tcPr>
          <w:p w14:paraId="1585C3D5" w14:textId="6D1B99B4"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Octava</w:t>
            </w:r>
          </w:p>
        </w:tc>
        <w:tc>
          <w:tcPr>
            <w:tcW w:w="4649" w:type="dxa"/>
          </w:tcPr>
          <w:p w14:paraId="47B67E65" w14:textId="56E48AF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Eighth Section</w:t>
            </w:r>
          </w:p>
        </w:tc>
      </w:tr>
      <w:tr w:rsidR="00F867DE" w:rsidRPr="002C0F16" w14:paraId="3A358B8F" w14:textId="77777777" w:rsidTr="00F867DE">
        <w:tc>
          <w:tcPr>
            <w:tcW w:w="4711" w:type="dxa"/>
          </w:tcPr>
          <w:p w14:paraId="29D9EC5C" w14:textId="18B5352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lastRenderedPageBreak/>
              <w:t>De la Participación Cruzada</w:t>
            </w:r>
          </w:p>
        </w:tc>
        <w:tc>
          <w:tcPr>
            <w:tcW w:w="4649" w:type="dxa"/>
          </w:tcPr>
          <w:p w14:paraId="284D57FF" w14:textId="7AC5BF5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Cross-Participation</w:t>
            </w:r>
          </w:p>
        </w:tc>
      </w:tr>
      <w:tr w:rsidR="00F867DE" w:rsidRPr="002C0F16" w14:paraId="37BFB6A0" w14:textId="77777777" w:rsidTr="00F867DE">
        <w:tc>
          <w:tcPr>
            <w:tcW w:w="4711" w:type="dxa"/>
          </w:tcPr>
          <w:p w14:paraId="77C16E9A" w14:textId="0F4A24B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X</w:t>
            </w:r>
          </w:p>
        </w:tc>
        <w:tc>
          <w:tcPr>
            <w:tcW w:w="4649" w:type="dxa"/>
          </w:tcPr>
          <w:p w14:paraId="52BD0042" w14:textId="2A6FCF5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X</w:t>
            </w:r>
          </w:p>
        </w:tc>
      </w:tr>
      <w:tr w:rsidR="00F867DE" w:rsidRPr="002C0F16" w14:paraId="3BDC2538" w14:textId="77777777" w:rsidTr="00F867DE">
        <w:tc>
          <w:tcPr>
            <w:tcW w:w="4711" w:type="dxa"/>
          </w:tcPr>
          <w:p w14:paraId="50CDD903" w14:textId="1E72C37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Supervisión y Vigilancia en materia de Trazabilidad, Medición y Calidad de los Hidrocarburos, Petrolíferos y Petroquímicos</w:t>
            </w:r>
          </w:p>
        </w:tc>
        <w:tc>
          <w:tcPr>
            <w:tcW w:w="4649" w:type="dxa"/>
          </w:tcPr>
          <w:p w14:paraId="040B2D79" w14:textId="33C11A7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Supervision and Oversight in the Area of Traceability, Measurement and Quality of Hydrocarbons, Petroleum Products and Petrochemicals</w:t>
            </w:r>
          </w:p>
        </w:tc>
      </w:tr>
      <w:tr w:rsidR="00F867DE" w:rsidRPr="002C0F16" w14:paraId="699352D3" w14:textId="77777777" w:rsidTr="00F867DE">
        <w:tc>
          <w:tcPr>
            <w:tcW w:w="4711" w:type="dxa"/>
          </w:tcPr>
          <w:p w14:paraId="078C99E8" w14:textId="12216BE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XI</w:t>
            </w:r>
          </w:p>
        </w:tc>
        <w:tc>
          <w:tcPr>
            <w:tcW w:w="4649" w:type="dxa"/>
          </w:tcPr>
          <w:p w14:paraId="37F9147A" w14:textId="27362004"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XI</w:t>
            </w:r>
          </w:p>
        </w:tc>
      </w:tr>
      <w:tr w:rsidR="00F867DE" w:rsidRPr="002C0F16" w14:paraId="5AC06E16" w14:textId="77777777" w:rsidTr="00F867DE">
        <w:tc>
          <w:tcPr>
            <w:tcW w:w="4711" w:type="dxa"/>
          </w:tcPr>
          <w:p w14:paraId="53DD65EE" w14:textId="627706C7"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Plataforma de Información Electrónica</w:t>
            </w:r>
          </w:p>
        </w:tc>
        <w:tc>
          <w:tcPr>
            <w:tcW w:w="4649" w:type="dxa"/>
          </w:tcPr>
          <w:p w14:paraId="6F9C5046" w14:textId="0B4BEB8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Electronic Information Platform</w:t>
            </w:r>
          </w:p>
        </w:tc>
      </w:tr>
      <w:tr w:rsidR="00F867DE" w:rsidRPr="002C0F16" w14:paraId="4F297E2E" w14:textId="77777777" w:rsidTr="00F867DE">
        <w:tc>
          <w:tcPr>
            <w:tcW w:w="4711" w:type="dxa"/>
          </w:tcPr>
          <w:p w14:paraId="234C281F" w14:textId="7A96FE04"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TÍTULO CUARTO</w:t>
            </w:r>
          </w:p>
        </w:tc>
        <w:tc>
          <w:tcPr>
            <w:tcW w:w="4649" w:type="dxa"/>
          </w:tcPr>
          <w:p w14:paraId="3BABF6D8" w14:textId="0D9BE235"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FOURTH TITLE</w:t>
            </w:r>
          </w:p>
        </w:tc>
      </w:tr>
      <w:tr w:rsidR="00F867DE" w:rsidRPr="002C0F16" w14:paraId="594FF844" w14:textId="77777777" w:rsidTr="00F867DE">
        <w:tc>
          <w:tcPr>
            <w:tcW w:w="4711" w:type="dxa"/>
          </w:tcPr>
          <w:p w14:paraId="508B01DA" w14:textId="3041BD62"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DE LAS DISPOSICIONES APLICABLES A LA INDUSTRIA DE HIDROCARBUROS</w:t>
            </w:r>
          </w:p>
        </w:tc>
        <w:tc>
          <w:tcPr>
            <w:tcW w:w="4649" w:type="dxa"/>
          </w:tcPr>
          <w:p w14:paraId="7FD2E960" w14:textId="650B1FEE"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PROVISIONS APPLICABLE TO THE HYDROCARBON INDUSTRY</w:t>
            </w:r>
          </w:p>
        </w:tc>
      </w:tr>
      <w:tr w:rsidR="00F867DE" w:rsidRPr="002C0F16" w14:paraId="7BA2E95B" w14:textId="77777777" w:rsidTr="00F867DE">
        <w:tc>
          <w:tcPr>
            <w:tcW w:w="4711" w:type="dxa"/>
          </w:tcPr>
          <w:p w14:paraId="6BF43439" w14:textId="76D4EAA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w:t>
            </w:r>
          </w:p>
        </w:tc>
        <w:tc>
          <w:tcPr>
            <w:tcW w:w="4649" w:type="dxa"/>
          </w:tcPr>
          <w:p w14:paraId="128461A6" w14:textId="613B699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w:t>
            </w:r>
          </w:p>
        </w:tc>
      </w:tr>
      <w:tr w:rsidR="00F867DE" w:rsidRPr="002C0F16" w14:paraId="221C11C2" w14:textId="77777777" w:rsidTr="00F867DE">
        <w:tc>
          <w:tcPr>
            <w:tcW w:w="4711" w:type="dxa"/>
          </w:tcPr>
          <w:p w14:paraId="33DF2FE9" w14:textId="3F4F1DE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Información Obtenida de la Medición de los Hidrocarburos</w:t>
            </w:r>
          </w:p>
        </w:tc>
        <w:tc>
          <w:tcPr>
            <w:tcW w:w="4649" w:type="dxa"/>
          </w:tcPr>
          <w:p w14:paraId="143DCE32" w14:textId="5939E78D"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Information Obtained from the Measurement of Hydrocarbons</w:t>
            </w:r>
          </w:p>
        </w:tc>
      </w:tr>
      <w:tr w:rsidR="00F867DE" w:rsidRPr="002C0F16" w14:paraId="201BCD2E" w14:textId="77777777" w:rsidTr="00F867DE">
        <w:tc>
          <w:tcPr>
            <w:tcW w:w="4711" w:type="dxa"/>
          </w:tcPr>
          <w:p w14:paraId="29E1FECB" w14:textId="1D74E983"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w:t>
            </w:r>
          </w:p>
        </w:tc>
        <w:tc>
          <w:tcPr>
            <w:tcW w:w="4649" w:type="dxa"/>
          </w:tcPr>
          <w:p w14:paraId="5DF877E1" w14:textId="292EFF8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w:t>
            </w:r>
          </w:p>
        </w:tc>
      </w:tr>
      <w:tr w:rsidR="00F867DE" w:rsidRPr="002C0F16" w14:paraId="56EA5C1D" w14:textId="77777777" w:rsidTr="00F867DE">
        <w:tc>
          <w:tcPr>
            <w:tcW w:w="4711" w:type="dxa"/>
          </w:tcPr>
          <w:p w14:paraId="659B1A67" w14:textId="0B0E066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Bases de Coordinación para el Desarrollo de Proyectos en la Industria de Hidrocarburos</w:t>
            </w:r>
          </w:p>
        </w:tc>
        <w:tc>
          <w:tcPr>
            <w:tcW w:w="4649" w:type="dxa"/>
          </w:tcPr>
          <w:p w14:paraId="0A50C035" w14:textId="3418A33E"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Coordination Criteria for the Development of Projects in the Hydrocarbon Industry</w:t>
            </w:r>
          </w:p>
        </w:tc>
      </w:tr>
      <w:tr w:rsidR="00F867DE" w:rsidRPr="002C0F16" w14:paraId="3F0B4FD1" w14:textId="77777777" w:rsidTr="00F867DE">
        <w:tc>
          <w:tcPr>
            <w:tcW w:w="4711" w:type="dxa"/>
          </w:tcPr>
          <w:p w14:paraId="764C4415" w14:textId="303B44B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III</w:t>
            </w:r>
          </w:p>
        </w:tc>
        <w:tc>
          <w:tcPr>
            <w:tcW w:w="4649" w:type="dxa"/>
          </w:tcPr>
          <w:p w14:paraId="66DCC8AC" w14:textId="6CC8B783"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III</w:t>
            </w:r>
          </w:p>
        </w:tc>
      </w:tr>
      <w:tr w:rsidR="00F867DE" w:rsidRPr="002C0F16" w14:paraId="2C1ED180" w14:textId="77777777" w:rsidTr="00F867DE">
        <w:tc>
          <w:tcPr>
            <w:tcW w:w="4711" w:type="dxa"/>
          </w:tcPr>
          <w:p w14:paraId="3001DCE5" w14:textId="6B3506E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Uso y la Ocupación Superficial</w:t>
            </w:r>
          </w:p>
        </w:tc>
        <w:tc>
          <w:tcPr>
            <w:tcW w:w="4649" w:type="dxa"/>
          </w:tcPr>
          <w:p w14:paraId="5283FA1B" w14:textId="6C570F4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Use and Surface Occupation</w:t>
            </w:r>
          </w:p>
        </w:tc>
      </w:tr>
      <w:tr w:rsidR="00F867DE" w:rsidRPr="002C0F16" w14:paraId="49EA97CC" w14:textId="77777777" w:rsidTr="00F867DE">
        <w:tc>
          <w:tcPr>
            <w:tcW w:w="4711" w:type="dxa"/>
          </w:tcPr>
          <w:p w14:paraId="3557E05C" w14:textId="62F11F2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IV</w:t>
            </w:r>
          </w:p>
        </w:tc>
        <w:tc>
          <w:tcPr>
            <w:tcW w:w="4649" w:type="dxa"/>
          </w:tcPr>
          <w:p w14:paraId="0747007E" w14:textId="5744323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IV</w:t>
            </w:r>
          </w:p>
        </w:tc>
      </w:tr>
      <w:tr w:rsidR="00F867DE" w:rsidRPr="002C0F16" w14:paraId="003ECCC0" w14:textId="77777777" w:rsidTr="00F867DE">
        <w:tc>
          <w:tcPr>
            <w:tcW w:w="4711" w:type="dxa"/>
          </w:tcPr>
          <w:p w14:paraId="47CE4586" w14:textId="6E466FA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Manifestación de Impacto Social del Sector Energético y de la Consulta Previa</w:t>
            </w:r>
          </w:p>
        </w:tc>
        <w:tc>
          <w:tcPr>
            <w:tcW w:w="4649" w:type="dxa"/>
          </w:tcPr>
          <w:p w14:paraId="4F4E0C68" w14:textId="1F35F1B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Social Impact Statement of the Energy Sector and the Prior Consultation</w:t>
            </w:r>
          </w:p>
        </w:tc>
      </w:tr>
      <w:tr w:rsidR="00F867DE" w:rsidRPr="002C0F16" w14:paraId="60012F1E" w14:textId="77777777" w:rsidTr="00F867DE">
        <w:tc>
          <w:tcPr>
            <w:tcW w:w="4711" w:type="dxa"/>
          </w:tcPr>
          <w:p w14:paraId="0441827F" w14:textId="7387058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Primera</w:t>
            </w:r>
          </w:p>
        </w:tc>
        <w:tc>
          <w:tcPr>
            <w:tcW w:w="4649" w:type="dxa"/>
          </w:tcPr>
          <w:p w14:paraId="60380413" w14:textId="1DEBABD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2C14D21B" w14:textId="77777777" w:rsidTr="00F867DE">
        <w:tc>
          <w:tcPr>
            <w:tcW w:w="4711" w:type="dxa"/>
          </w:tcPr>
          <w:p w14:paraId="5C15034F" w14:textId="752B24FF"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Estudio de Impacto Social y de la Manifestación de Impacto Social del Sector Energético</w:t>
            </w:r>
          </w:p>
        </w:tc>
        <w:tc>
          <w:tcPr>
            <w:tcW w:w="4649" w:type="dxa"/>
          </w:tcPr>
          <w:p w14:paraId="2D2CD5DA" w14:textId="1337540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Social Impact Study and the Social Impact Statement of the Energy Sector</w:t>
            </w:r>
          </w:p>
        </w:tc>
      </w:tr>
      <w:tr w:rsidR="00F867DE" w:rsidRPr="002C0F16" w14:paraId="1E6C6BD8" w14:textId="77777777" w:rsidTr="00F867DE">
        <w:tc>
          <w:tcPr>
            <w:tcW w:w="4711" w:type="dxa"/>
          </w:tcPr>
          <w:p w14:paraId="35CD1B58" w14:textId="4CA07C0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189EC807" w14:textId="43C2AAF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3FE2260A" w14:textId="77777777" w:rsidTr="00F867DE">
        <w:tc>
          <w:tcPr>
            <w:tcW w:w="4711" w:type="dxa"/>
          </w:tcPr>
          <w:p w14:paraId="4071F2E5" w14:textId="1E26068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Consulta Previa</w:t>
            </w:r>
          </w:p>
        </w:tc>
        <w:tc>
          <w:tcPr>
            <w:tcW w:w="4649" w:type="dxa"/>
          </w:tcPr>
          <w:p w14:paraId="6E800239" w14:textId="33D5040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Prior Consultation</w:t>
            </w:r>
          </w:p>
        </w:tc>
      </w:tr>
      <w:tr w:rsidR="00F867DE" w:rsidRPr="002C0F16" w14:paraId="32EEF281" w14:textId="77777777" w:rsidTr="00F867DE">
        <w:tc>
          <w:tcPr>
            <w:tcW w:w="4711" w:type="dxa"/>
          </w:tcPr>
          <w:p w14:paraId="61DA25AC" w14:textId="0E07F648"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TÍTULO QUINTO</w:t>
            </w:r>
          </w:p>
        </w:tc>
        <w:tc>
          <w:tcPr>
            <w:tcW w:w="4649" w:type="dxa"/>
          </w:tcPr>
          <w:p w14:paraId="08E421BD" w14:textId="627FE00D"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 xml:space="preserve">FIFTH TITLE </w:t>
            </w:r>
          </w:p>
        </w:tc>
      </w:tr>
      <w:tr w:rsidR="00F867DE" w:rsidRPr="002C0F16" w14:paraId="6CF71644" w14:textId="77777777" w:rsidTr="00F867DE">
        <w:tc>
          <w:tcPr>
            <w:tcW w:w="4711" w:type="dxa"/>
          </w:tcPr>
          <w:p w14:paraId="13DA041A" w14:textId="5EC33FE4"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DE LA PLANEACIÓN Y CONTROL DEL SECTOR HIDROCARBUROS</w:t>
            </w:r>
          </w:p>
        </w:tc>
        <w:tc>
          <w:tcPr>
            <w:tcW w:w="4649" w:type="dxa"/>
          </w:tcPr>
          <w:p w14:paraId="2DDC06A1" w14:textId="0377009F"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PLANNING AND CONTROL OF THE HYDROCARBON SECTOR</w:t>
            </w:r>
          </w:p>
        </w:tc>
      </w:tr>
      <w:tr w:rsidR="00F867DE" w:rsidRPr="002C0F16" w14:paraId="57E94E85" w14:textId="77777777" w:rsidTr="00F867DE">
        <w:tc>
          <w:tcPr>
            <w:tcW w:w="4711" w:type="dxa"/>
          </w:tcPr>
          <w:p w14:paraId="20EA043F" w14:textId="075F91B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w:t>
            </w:r>
          </w:p>
        </w:tc>
        <w:tc>
          <w:tcPr>
            <w:tcW w:w="4649" w:type="dxa"/>
          </w:tcPr>
          <w:p w14:paraId="4CB1B13D" w14:textId="78666EB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w:t>
            </w:r>
          </w:p>
        </w:tc>
      </w:tr>
      <w:tr w:rsidR="00F867DE" w:rsidRPr="002C0F16" w14:paraId="3C566C21" w14:textId="77777777" w:rsidTr="00F867DE">
        <w:tc>
          <w:tcPr>
            <w:tcW w:w="4711" w:type="dxa"/>
          </w:tcPr>
          <w:p w14:paraId="2C762A98" w14:textId="0CB2AD77"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Planeación del Sector Hidrocarburos</w:t>
            </w:r>
          </w:p>
        </w:tc>
        <w:tc>
          <w:tcPr>
            <w:tcW w:w="4649" w:type="dxa"/>
          </w:tcPr>
          <w:p w14:paraId="4C4CE0BC" w14:textId="3DB56441"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Planning of the Hydrocarbon Sector</w:t>
            </w:r>
          </w:p>
        </w:tc>
      </w:tr>
      <w:tr w:rsidR="00F867DE" w:rsidRPr="002C0F16" w14:paraId="5E5AA281" w14:textId="77777777" w:rsidTr="00F867DE">
        <w:tc>
          <w:tcPr>
            <w:tcW w:w="4711" w:type="dxa"/>
          </w:tcPr>
          <w:p w14:paraId="5A7F140A" w14:textId="72D3EA07"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w:t>
            </w:r>
          </w:p>
        </w:tc>
        <w:tc>
          <w:tcPr>
            <w:tcW w:w="4649" w:type="dxa"/>
          </w:tcPr>
          <w:p w14:paraId="5830AC9B" w14:textId="46C5F54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w:t>
            </w:r>
          </w:p>
        </w:tc>
      </w:tr>
      <w:tr w:rsidR="00F867DE" w:rsidRPr="002C0F16" w14:paraId="2DEA7E06" w14:textId="77777777" w:rsidTr="00F867DE">
        <w:tc>
          <w:tcPr>
            <w:tcW w:w="4711" w:type="dxa"/>
          </w:tcPr>
          <w:p w14:paraId="561913CA" w14:textId="335F331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Del Consejo Consultivo para el Fomento de la Industria de Hidrocarburos Nacional</w:t>
            </w:r>
          </w:p>
        </w:tc>
        <w:tc>
          <w:tcPr>
            <w:tcW w:w="4649" w:type="dxa"/>
          </w:tcPr>
          <w:p w14:paraId="1B191FED" w14:textId="663860E2"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Advisory Council for the Promotion of the National Hydrocarbon Industry</w:t>
            </w:r>
          </w:p>
        </w:tc>
      </w:tr>
      <w:tr w:rsidR="00F867DE" w:rsidRPr="002C0F16" w14:paraId="6E63E1CC" w14:textId="77777777" w:rsidTr="00F867DE">
        <w:tc>
          <w:tcPr>
            <w:tcW w:w="4711" w:type="dxa"/>
          </w:tcPr>
          <w:p w14:paraId="17F16521" w14:textId="1BE9A249"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TÍTULO SEXTO</w:t>
            </w:r>
          </w:p>
        </w:tc>
        <w:tc>
          <w:tcPr>
            <w:tcW w:w="4649" w:type="dxa"/>
          </w:tcPr>
          <w:p w14:paraId="22C15844" w14:textId="6D037860"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 xml:space="preserve">SIXTH TITLE </w:t>
            </w:r>
          </w:p>
        </w:tc>
      </w:tr>
      <w:tr w:rsidR="00F867DE" w:rsidRPr="002C0F16" w14:paraId="74067DC6" w14:textId="77777777" w:rsidTr="00F867DE">
        <w:tc>
          <w:tcPr>
            <w:tcW w:w="4711" w:type="dxa"/>
          </w:tcPr>
          <w:p w14:paraId="1B6CD794" w14:textId="392DDB02"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DEL CONTENIDO NACIONAL Y DE LAS ESTRATEGIAS PARA EL FOMENTO INDUSTRIAL Y DE LA INVERSIÓN DE LA INDUSTRIA DE HIDROCARBUROS</w:t>
            </w:r>
          </w:p>
        </w:tc>
        <w:tc>
          <w:tcPr>
            <w:tcW w:w="4649" w:type="dxa"/>
          </w:tcPr>
          <w:p w14:paraId="399714D2" w14:textId="2F37B75D"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NATIONAL CONTENT AND STRATEGIES FOR INDUSTRIAL PROMOTION AND INVESTMENT IN THE HYDROCARBON INDUSTRY</w:t>
            </w:r>
          </w:p>
        </w:tc>
      </w:tr>
      <w:tr w:rsidR="00F867DE" w:rsidRPr="002C0F16" w14:paraId="58EC0037" w14:textId="77777777" w:rsidTr="00F867DE">
        <w:tc>
          <w:tcPr>
            <w:tcW w:w="4711" w:type="dxa"/>
          </w:tcPr>
          <w:p w14:paraId="38140BB1" w14:textId="07824A3F"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TÍTULO SÉPTIMO</w:t>
            </w:r>
          </w:p>
        </w:tc>
        <w:tc>
          <w:tcPr>
            <w:tcW w:w="4649" w:type="dxa"/>
          </w:tcPr>
          <w:p w14:paraId="74115B64" w14:textId="2C671619"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 xml:space="preserve">SEVENTH TITLE </w:t>
            </w:r>
          </w:p>
        </w:tc>
      </w:tr>
      <w:tr w:rsidR="00F867DE" w:rsidRPr="002C0F16" w14:paraId="6AE066C9" w14:textId="77777777" w:rsidTr="00F867DE">
        <w:tc>
          <w:tcPr>
            <w:tcW w:w="4711" w:type="dxa"/>
          </w:tcPr>
          <w:p w14:paraId="70D1259B" w14:textId="09C7944D"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DE LA VERIFICACIÓN</w:t>
            </w:r>
          </w:p>
        </w:tc>
        <w:tc>
          <w:tcPr>
            <w:tcW w:w="4649" w:type="dxa"/>
          </w:tcPr>
          <w:p w14:paraId="229C8D2B" w14:textId="489111EF"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VERIFICATION</w:t>
            </w:r>
          </w:p>
        </w:tc>
      </w:tr>
      <w:tr w:rsidR="00F867DE" w:rsidRPr="002C0F16" w14:paraId="6F47B159" w14:textId="77777777" w:rsidTr="00F867DE">
        <w:tc>
          <w:tcPr>
            <w:tcW w:w="4711" w:type="dxa"/>
          </w:tcPr>
          <w:p w14:paraId="3DD427C1" w14:textId="0069CE0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w:t>
            </w:r>
          </w:p>
        </w:tc>
        <w:tc>
          <w:tcPr>
            <w:tcW w:w="4649" w:type="dxa"/>
          </w:tcPr>
          <w:p w14:paraId="0F05DEF9" w14:textId="7610971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w:t>
            </w:r>
          </w:p>
        </w:tc>
      </w:tr>
      <w:tr w:rsidR="00F867DE" w:rsidRPr="002C0F16" w14:paraId="09D92937" w14:textId="77777777" w:rsidTr="00F867DE">
        <w:tc>
          <w:tcPr>
            <w:tcW w:w="4711" w:type="dxa"/>
          </w:tcPr>
          <w:p w14:paraId="2C6B9AB2" w14:textId="75820774"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Disposiciones Generales</w:t>
            </w:r>
          </w:p>
        </w:tc>
        <w:tc>
          <w:tcPr>
            <w:tcW w:w="4649" w:type="dxa"/>
          </w:tcPr>
          <w:p w14:paraId="371A5FC7" w14:textId="1864E627"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General Provisions</w:t>
            </w:r>
          </w:p>
        </w:tc>
      </w:tr>
      <w:tr w:rsidR="00F867DE" w:rsidRPr="002C0F16" w14:paraId="2A23BDA8" w14:textId="77777777" w:rsidTr="00F867DE">
        <w:tc>
          <w:tcPr>
            <w:tcW w:w="4711" w:type="dxa"/>
          </w:tcPr>
          <w:p w14:paraId="20B6F766" w14:textId="71DE272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w:t>
            </w:r>
          </w:p>
        </w:tc>
        <w:tc>
          <w:tcPr>
            <w:tcW w:w="4649" w:type="dxa"/>
          </w:tcPr>
          <w:p w14:paraId="263DC10C" w14:textId="7290095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w:t>
            </w:r>
          </w:p>
        </w:tc>
      </w:tr>
      <w:tr w:rsidR="00F867DE" w:rsidRPr="002C0F16" w14:paraId="6C59B497" w14:textId="77777777" w:rsidTr="00F867DE">
        <w:tc>
          <w:tcPr>
            <w:tcW w:w="4711" w:type="dxa"/>
          </w:tcPr>
          <w:p w14:paraId="382F96C5" w14:textId="1AC2F4E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Visitas de Verificación</w:t>
            </w:r>
          </w:p>
        </w:tc>
        <w:tc>
          <w:tcPr>
            <w:tcW w:w="4649" w:type="dxa"/>
          </w:tcPr>
          <w:p w14:paraId="14B7DB03" w14:textId="4439C823"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Verification Visits</w:t>
            </w:r>
          </w:p>
        </w:tc>
      </w:tr>
      <w:tr w:rsidR="00F867DE" w:rsidRPr="002C0F16" w14:paraId="516CDCAB" w14:textId="77777777" w:rsidTr="00F867DE">
        <w:tc>
          <w:tcPr>
            <w:tcW w:w="4711" w:type="dxa"/>
          </w:tcPr>
          <w:p w14:paraId="4871EF07" w14:textId="77BFC37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III</w:t>
            </w:r>
          </w:p>
        </w:tc>
        <w:tc>
          <w:tcPr>
            <w:tcW w:w="4649" w:type="dxa"/>
          </w:tcPr>
          <w:p w14:paraId="55EBC837" w14:textId="12BAF438"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III</w:t>
            </w:r>
          </w:p>
        </w:tc>
      </w:tr>
      <w:tr w:rsidR="00F867DE" w:rsidRPr="002C0F16" w14:paraId="4B03A8C4" w14:textId="77777777" w:rsidTr="00F867DE">
        <w:tc>
          <w:tcPr>
            <w:tcW w:w="4711" w:type="dxa"/>
          </w:tcPr>
          <w:p w14:paraId="585A5B2B" w14:textId="2937B42E"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Verificación mediante Requerimientos y Comparecencias</w:t>
            </w:r>
          </w:p>
        </w:tc>
        <w:tc>
          <w:tcPr>
            <w:tcW w:w="4649" w:type="dxa"/>
          </w:tcPr>
          <w:p w14:paraId="1D6872AA" w14:textId="59080627"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Verification through Requests and Appearances</w:t>
            </w:r>
          </w:p>
        </w:tc>
      </w:tr>
      <w:tr w:rsidR="00F867DE" w:rsidRPr="002C0F16" w14:paraId="159B5F39" w14:textId="77777777" w:rsidTr="00F867DE">
        <w:tc>
          <w:tcPr>
            <w:tcW w:w="4711" w:type="dxa"/>
          </w:tcPr>
          <w:p w14:paraId="666E4C34" w14:textId="23E0DDE9"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IV</w:t>
            </w:r>
          </w:p>
        </w:tc>
        <w:tc>
          <w:tcPr>
            <w:tcW w:w="4649" w:type="dxa"/>
          </w:tcPr>
          <w:p w14:paraId="306E6166" w14:textId="04AE0206"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IV</w:t>
            </w:r>
          </w:p>
        </w:tc>
      </w:tr>
      <w:tr w:rsidR="00F867DE" w:rsidRPr="002C0F16" w14:paraId="3FAD8DDA" w14:textId="77777777" w:rsidTr="00F867DE">
        <w:tc>
          <w:tcPr>
            <w:tcW w:w="4711" w:type="dxa"/>
          </w:tcPr>
          <w:p w14:paraId="4D31313F" w14:textId="22905382"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Medidas Cautelares y Precautorias</w:t>
            </w:r>
          </w:p>
        </w:tc>
        <w:tc>
          <w:tcPr>
            <w:tcW w:w="4649" w:type="dxa"/>
          </w:tcPr>
          <w:p w14:paraId="733B2955" w14:textId="15E065F7"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Precautionary and Cautionary Measures</w:t>
            </w:r>
          </w:p>
        </w:tc>
      </w:tr>
      <w:tr w:rsidR="00F867DE" w:rsidRPr="002C0F16" w14:paraId="424AA128" w14:textId="77777777" w:rsidTr="00F867DE">
        <w:tc>
          <w:tcPr>
            <w:tcW w:w="4711" w:type="dxa"/>
          </w:tcPr>
          <w:p w14:paraId="0027B44C" w14:textId="5CB46FFF"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TÍTULO OCTAVO</w:t>
            </w:r>
          </w:p>
        </w:tc>
        <w:tc>
          <w:tcPr>
            <w:tcW w:w="4649" w:type="dxa"/>
          </w:tcPr>
          <w:p w14:paraId="0E3C81C2" w14:textId="11397D7B"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 xml:space="preserve">EIGHTH TITLE </w:t>
            </w:r>
          </w:p>
        </w:tc>
      </w:tr>
      <w:tr w:rsidR="00F867DE" w:rsidRPr="002C0F16" w14:paraId="7A240E00" w14:textId="77777777" w:rsidTr="00F867DE">
        <w:tc>
          <w:tcPr>
            <w:tcW w:w="4711" w:type="dxa"/>
          </w:tcPr>
          <w:p w14:paraId="44154DC9" w14:textId="658F841D"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DEL PROCEDIMIENTO PARA LA DETERMINACIÓN DE SANCIONES</w:t>
            </w:r>
          </w:p>
        </w:tc>
        <w:tc>
          <w:tcPr>
            <w:tcW w:w="4649" w:type="dxa"/>
          </w:tcPr>
          <w:p w14:paraId="0055E44D" w14:textId="4DCC41B9"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PROCEDURE FOR DETERMINING PENALTIES</w:t>
            </w:r>
          </w:p>
        </w:tc>
      </w:tr>
      <w:tr w:rsidR="00F867DE" w:rsidRPr="002C0F16" w14:paraId="16BDE8B1" w14:textId="77777777" w:rsidTr="00F867DE">
        <w:tc>
          <w:tcPr>
            <w:tcW w:w="4711" w:type="dxa"/>
          </w:tcPr>
          <w:p w14:paraId="543A0066" w14:textId="30023358"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TÍTULO NOVENO</w:t>
            </w:r>
          </w:p>
        </w:tc>
        <w:tc>
          <w:tcPr>
            <w:tcW w:w="4649" w:type="dxa"/>
          </w:tcPr>
          <w:p w14:paraId="502E2E95" w14:textId="5F788857"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 xml:space="preserve">NINTH TITLE </w:t>
            </w:r>
          </w:p>
        </w:tc>
      </w:tr>
      <w:tr w:rsidR="00F867DE" w:rsidRPr="002C0F16" w14:paraId="772C2C37" w14:textId="77777777" w:rsidTr="00F867DE">
        <w:tc>
          <w:tcPr>
            <w:tcW w:w="4711" w:type="dxa"/>
          </w:tcPr>
          <w:p w14:paraId="0E948A9F" w14:textId="2E13557C" w:rsidR="00F867DE" w:rsidRPr="009849AC" w:rsidRDefault="00F867DE" w:rsidP="00F867DE">
            <w:pPr>
              <w:pStyle w:val="ANOTACION"/>
              <w:spacing w:before="0" w:after="0" w:line="224" w:lineRule="exact"/>
              <w:jc w:val="left"/>
              <w:rPr>
                <w:rFonts w:ascii="Verdana" w:hAnsi="Verdana"/>
                <w:sz w:val="16"/>
                <w:szCs w:val="16"/>
              </w:rPr>
            </w:pPr>
            <w:r w:rsidRPr="009849AC">
              <w:rPr>
                <w:rFonts w:ascii="Verdana" w:hAnsi="Verdana"/>
                <w:sz w:val="16"/>
                <w:szCs w:val="16"/>
              </w:rPr>
              <w:t>OTRAS DISPOSICIONES</w:t>
            </w:r>
          </w:p>
        </w:tc>
        <w:tc>
          <w:tcPr>
            <w:tcW w:w="4649" w:type="dxa"/>
          </w:tcPr>
          <w:p w14:paraId="7396B1B4" w14:textId="36C354C2" w:rsidR="00F867DE" w:rsidRPr="009849AC" w:rsidRDefault="00F867DE" w:rsidP="00F867DE">
            <w:pPr>
              <w:pStyle w:val="ANOTACION"/>
              <w:spacing w:before="0" w:after="0" w:line="224" w:lineRule="exact"/>
              <w:jc w:val="left"/>
              <w:rPr>
                <w:rFonts w:ascii="Verdana" w:hAnsi="Verdana"/>
                <w:sz w:val="16"/>
                <w:szCs w:val="16"/>
                <w:lang w:val="en-US"/>
              </w:rPr>
            </w:pPr>
            <w:r w:rsidRPr="009849AC">
              <w:rPr>
                <w:rFonts w:ascii="Verdana" w:hAnsi="Verdana"/>
                <w:sz w:val="16"/>
                <w:szCs w:val="16"/>
                <w:lang w:val="en-US"/>
              </w:rPr>
              <w:t>OTHER PROVISIONS</w:t>
            </w:r>
          </w:p>
        </w:tc>
      </w:tr>
      <w:tr w:rsidR="00F867DE" w:rsidRPr="002C0F16" w14:paraId="34188245" w14:textId="77777777" w:rsidTr="00F867DE">
        <w:tc>
          <w:tcPr>
            <w:tcW w:w="4711" w:type="dxa"/>
          </w:tcPr>
          <w:p w14:paraId="75D45F07" w14:textId="7E9760B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w:t>
            </w:r>
          </w:p>
        </w:tc>
        <w:tc>
          <w:tcPr>
            <w:tcW w:w="4649" w:type="dxa"/>
          </w:tcPr>
          <w:p w14:paraId="6F4E90DE" w14:textId="1066C000"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w:t>
            </w:r>
            <w:r w:rsidRPr="00364F69">
              <w:rPr>
                <w:rFonts w:ascii="Arial" w:hAnsi="Arial" w:cs="Arial"/>
                <w:b w:val="0"/>
                <w:bCs/>
                <w:sz w:val="16"/>
                <w:szCs w:val="16"/>
                <w:lang w:val="en-US"/>
              </w:rPr>
              <w:t>​</w:t>
            </w:r>
          </w:p>
        </w:tc>
      </w:tr>
      <w:tr w:rsidR="00F867DE" w:rsidRPr="002C0F16" w14:paraId="32F92B77" w14:textId="77777777" w:rsidTr="00F867DE">
        <w:tc>
          <w:tcPr>
            <w:tcW w:w="4711" w:type="dxa"/>
          </w:tcPr>
          <w:p w14:paraId="2B4A6104" w14:textId="50E0805D"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Ocupación Temporal y la Intervención</w:t>
            </w:r>
          </w:p>
        </w:tc>
        <w:tc>
          <w:tcPr>
            <w:tcW w:w="4649" w:type="dxa"/>
          </w:tcPr>
          <w:p w14:paraId="5F78A906" w14:textId="4FA94AB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Temporary Occupation and Intervention</w:t>
            </w:r>
          </w:p>
        </w:tc>
      </w:tr>
      <w:tr w:rsidR="00F867DE" w:rsidRPr="002C0F16" w14:paraId="54B8CE23" w14:textId="77777777" w:rsidTr="00F867DE">
        <w:tc>
          <w:tcPr>
            <w:tcW w:w="4711" w:type="dxa"/>
          </w:tcPr>
          <w:p w14:paraId="1C05375E" w14:textId="2CA56EDC"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lastRenderedPageBreak/>
              <w:t>Sección Primera</w:t>
            </w:r>
          </w:p>
        </w:tc>
        <w:tc>
          <w:tcPr>
            <w:tcW w:w="4649" w:type="dxa"/>
          </w:tcPr>
          <w:p w14:paraId="0F29E166" w14:textId="619AAFDB"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First Section</w:t>
            </w:r>
          </w:p>
        </w:tc>
      </w:tr>
      <w:tr w:rsidR="00F867DE" w:rsidRPr="002C0F16" w14:paraId="24CD4305" w14:textId="77777777" w:rsidTr="00F867DE">
        <w:tc>
          <w:tcPr>
            <w:tcW w:w="4711" w:type="dxa"/>
          </w:tcPr>
          <w:p w14:paraId="50C8E483" w14:textId="06595EC5"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Ocupación Temporal</w:t>
            </w:r>
          </w:p>
        </w:tc>
        <w:tc>
          <w:tcPr>
            <w:tcW w:w="4649" w:type="dxa"/>
          </w:tcPr>
          <w:p w14:paraId="45F36096" w14:textId="2D9568DC"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Temporary Occupation</w:t>
            </w:r>
          </w:p>
        </w:tc>
      </w:tr>
      <w:tr w:rsidR="00F867DE" w:rsidRPr="002C0F16" w14:paraId="038E1115" w14:textId="77777777" w:rsidTr="00F867DE">
        <w:tc>
          <w:tcPr>
            <w:tcW w:w="4711" w:type="dxa"/>
          </w:tcPr>
          <w:p w14:paraId="7190D933" w14:textId="57E489BA"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Sección Segunda</w:t>
            </w:r>
          </w:p>
        </w:tc>
        <w:tc>
          <w:tcPr>
            <w:tcW w:w="4649" w:type="dxa"/>
          </w:tcPr>
          <w:p w14:paraId="5CE9772E" w14:textId="75847B2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Second Section</w:t>
            </w:r>
          </w:p>
        </w:tc>
      </w:tr>
      <w:tr w:rsidR="00F867DE" w:rsidRPr="002C0F16" w14:paraId="119A030E" w14:textId="77777777" w:rsidTr="00F867DE">
        <w:tc>
          <w:tcPr>
            <w:tcW w:w="4711" w:type="dxa"/>
          </w:tcPr>
          <w:p w14:paraId="29BAA319" w14:textId="7676B960"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Intervención</w:t>
            </w:r>
          </w:p>
        </w:tc>
        <w:tc>
          <w:tcPr>
            <w:tcW w:w="4649" w:type="dxa"/>
          </w:tcPr>
          <w:p w14:paraId="780FCF8B" w14:textId="43B28917"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Intervention</w:t>
            </w:r>
          </w:p>
        </w:tc>
      </w:tr>
      <w:tr w:rsidR="00F867DE" w:rsidRPr="002C0F16" w14:paraId="6287376A" w14:textId="77777777" w:rsidTr="00F867DE">
        <w:tc>
          <w:tcPr>
            <w:tcW w:w="4711" w:type="dxa"/>
          </w:tcPr>
          <w:p w14:paraId="5C73F7CA" w14:textId="334222E1"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w:t>
            </w:r>
          </w:p>
        </w:tc>
        <w:tc>
          <w:tcPr>
            <w:tcW w:w="4649" w:type="dxa"/>
          </w:tcPr>
          <w:p w14:paraId="67F5FA10" w14:textId="0B40DE52"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w:t>
            </w:r>
            <w:r w:rsidRPr="00364F69">
              <w:rPr>
                <w:rFonts w:ascii="Arial" w:hAnsi="Arial" w:cs="Arial"/>
                <w:b w:val="0"/>
                <w:bCs/>
                <w:sz w:val="16"/>
                <w:szCs w:val="16"/>
                <w:lang w:val="en-US"/>
              </w:rPr>
              <w:t>​</w:t>
            </w:r>
          </w:p>
        </w:tc>
      </w:tr>
      <w:tr w:rsidR="00F867DE" w:rsidRPr="002C0F16" w14:paraId="277DF222" w14:textId="77777777" w:rsidTr="00F867DE">
        <w:tc>
          <w:tcPr>
            <w:tcW w:w="4711" w:type="dxa"/>
          </w:tcPr>
          <w:p w14:paraId="7865C428" w14:textId="529D9554"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Revocación y Caducidad de Autorizaciones y Permisos</w:t>
            </w:r>
          </w:p>
        </w:tc>
        <w:tc>
          <w:tcPr>
            <w:tcW w:w="4649" w:type="dxa"/>
          </w:tcPr>
          <w:p w14:paraId="73232CE3" w14:textId="0276916F"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Revocation and Expiration of Authorizations and Permits</w:t>
            </w:r>
          </w:p>
        </w:tc>
      </w:tr>
      <w:tr w:rsidR="00F867DE" w:rsidRPr="002C0F16" w14:paraId="0B8B797F" w14:textId="77777777" w:rsidTr="00F867DE">
        <w:tc>
          <w:tcPr>
            <w:tcW w:w="4711" w:type="dxa"/>
          </w:tcPr>
          <w:p w14:paraId="25BECAF6" w14:textId="19B6019B"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III</w:t>
            </w:r>
          </w:p>
        </w:tc>
        <w:tc>
          <w:tcPr>
            <w:tcW w:w="4649" w:type="dxa"/>
          </w:tcPr>
          <w:p w14:paraId="237CF338" w14:textId="76684637"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III</w:t>
            </w:r>
          </w:p>
        </w:tc>
      </w:tr>
      <w:tr w:rsidR="00F867DE" w:rsidRPr="002C0F16" w14:paraId="072FADE4" w14:textId="77777777" w:rsidTr="00F867DE">
        <w:tc>
          <w:tcPr>
            <w:tcW w:w="4711" w:type="dxa"/>
          </w:tcPr>
          <w:p w14:paraId="00C0C1ED" w14:textId="195A9196"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los Supuestos para el no Otorgamiento, Modificación o Cesión de Permisos</w:t>
            </w:r>
          </w:p>
        </w:tc>
        <w:tc>
          <w:tcPr>
            <w:tcW w:w="4649" w:type="dxa"/>
          </w:tcPr>
          <w:p w14:paraId="7DDC4AD4" w14:textId="428FE6A8"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Regarding the Cases for Not Granting, Modification or Transfer of Permits</w:t>
            </w:r>
          </w:p>
        </w:tc>
      </w:tr>
      <w:tr w:rsidR="00F867DE" w:rsidRPr="002C0F16" w14:paraId="1591DAB7" w14:textId="77777777" w:rsidTr="00F867DE">
        <w:tc>
          <w:tcPr>
            <w:tcW w:w="4711" w:type="dxa"/>
          </w:tcPr>
          <w:p w14:paraId="0692B764" w14:textId="25909998"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IV</w:t>
            </w:r>
          </w:p>
        </w:tc>
        <w:tc>
          <w:tcPr>
            <w:tcW w:w="4649" w:type="dxa"/>
          </w:tcPr>
          <w:p w14:paraId="45923897" w14:textId="37611889"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IV</w:t>
            </w:r>
          </w:p>
        </w:tc>
      </w:tr>
      <w:tr w:rsidR="00F867DE" w:rsidRPr="002C0F16" w14:paraId="103CEEC7" w14:textId="77777777" w:rsidTr="00F867DE">
        <w:tc>
          <w:tcPr>
            <w:tcW w:w="4711" w:type="dxa"/>
          </w:tcPr>
          <w:p w14:paraId="17805A80" w14:textId="22F72214"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las Innovaciones Tecnológicas</w:t>
            </w:r>
          </w:p>
        </w:tc>
        <w:tc>
          <w:tcPr>
            <w:tcW w:w="4649" w:type="dxa"/>
          </w:tcPr>
          <w:p w14:paraId="321CA6EF" w14:textId="7DE318B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Technological Innovations</w:t>
            </w:r>
          </w:p>
        </w:tc>
      </w:tr>
      <w:tr w:rsidR="00F867DE" w:rsidRPr="002C0F16" w14:paraId="02678C29" w14:textId="77777777" w:rsidTr="00F867DE">
        <w:tc>
          <w:tcPr>
            <w:tcW w:w="4711" w:type="dxa"/>
          </w:tcPr>
          <w:p w14:paraId="0CA0F481" w14:textId="0C389202"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Capítulo V</w:t>
            </w:r>
          </w:p>
        </w:tc>
        <w:tc>
          <w:tcPr>
            <w:tcW w:w="4649" w:type="dxa"/>
          </w:tcPr>
          <w:p w14:paraId="15D0B2C9" w14:textId="714602B5"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Chapter V</w:t>
            </w:r>
          </w:p>
        </w:tc>
      </w:tr>
      <w:tr w:rsidR="00F867DE" w:rsidRPr="002C0F16" w14:paraId="7D707375" w14:textId="77777777" w:rsidTr="00F867DE">
        <w:tc>
          <w:tcPr>
            <w:tcW w:w="4711" w:type="dxa"/>
          </w:tcPr>
          <w:p w14:paraId="5978AAC7" w14:textId="25E2CB7F"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De la Justicia Energética</w:t>
            </w:r>
          </w:p>
        </w:tc>
        <w:tc>
          <w:tcPr>
            <w:tcW w:w="4649" w:type="dxa"/>
          </w:tcPr>
          <w:p w14:paraId="053C82BE" w14:textId="08A596CA"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Energy Justice</w:t>
            </w:r>
          </w:p>
        </w:tc>
      </w:tr>
      <w:tr w:rsidR="00F867DE" w:rsidRPr="002C0F16" w14:paraId="4F884F0C" w14:textId="77777777" w:rsidTr="00F867DE">
        <w:tc>
          <w:tcPr>
            <w:tcW w:w="4711" w:type="dxa"/>
          </w:tcPr>
          <w:p w14:paraId="5E0A57CC" w14:textId="53967A14" w:rsidR="00F867DE" w:rsidRPr="00F867DE" w:rsidRDefault="00F867DE" w:rsidP="00F867DE">
            <w:pPr>
              <w:pStyle w:val="ANOTACION"/>
              <w:spacing w:before="0" w:after="0" w:line="224" w:lineRule="exact"/>
              <w:jc w:val="left"/>
              <w:rPr>
                <w:rFonts w:ascii="Verdana" w:hAnsi="Verdana"/>
                <w:b w:val="0"/>
                <w:bCs/>
                <w:sz w:val="16"/>
                <w:szCs w:val="16"/>
              </w:rPr>
            </w:pPr>
            <w:r w:rsidRPr="00364F69">
              <w:rPr>
                <w:rFonts w:ascii="Verdana" w:hAnsi="Verdana"/>
                <w:b w:val="0"/>
                <w:bCs/>
                <w:sz w:val="16"/>
                <w:szCs w:val="16"/>
              </w:rPr>
              <w:t>TRANSITORIOS</w:t>
            </w:r>
          </w:p>
        </w:tc>
        <w:tc>
          <w:tcPr>
            <w:tcW w:w="4649" w:type="dxa"/>
          </w:tcPr>
          <w:p w14:paraId="4DD71688" w14:textId="4ED64208" w:rsidR="00F867DE" w:rsidRPr="00F867DE" w:rsidRDefault="00F867DE" w:rsidP="00F867DE">
            <w:pPr>
              <w:pStyle w:val="ANOTACION"/>
              <w:spacing w:before="0" w:after="0" w:line="224" w:lineRule="exact"/>
              <w:jc w:val="left"/>
              <w:rPr>
                <w:rFonts w:ascii="Verdana" w:hAnsi="Verdana"/>
                <w:b w:val="0"/>
                <w:bCs/>
                <w:sz w:val="16"/>
                <w:szCs w:val="16"/>
                <w:lang w:val="en-US"/>
              </w:rPr>
            </w:pPr>
            <w:r w:rsidRPr="00364F69">
              <w:rPr>
                <w:rFonts w:ascii="Verdana" w:hAnsi="Verdana"/>
                <w:b w:val="0"/>
                <w:bCs/>
                <w:sz w:val="16"/>
                <w:szCs w:val="16"/>
                <w:lang w:val="en-US"/>
              </w:rPr>
              <w:t>TRANSITIONAL ARTICLES</w:t>
            </w:r>
          </w:p>
        </w:tc>
      </w:tr>
      <w:tr w:rsidR="00F867DE" w:rsidRPr="002C0F16" w14:paraId="333BBCD6" w14:textId="77777777" w:rsidTr="00F867DE">
        <w:tc>
          <w:tcPr>
            <w:tcW w:w="4711" w:type="dxa"/>
          </w:tcPr>
          <w:p w14:paraId="3B4D71ED" w14:textId="77777777" w:rsidR="00F867DE" w:rsidRPr="00F867DE" w:rsidRDefault="00F867DE" w:rsidP="00F867DE">
            <w:pPr>
              <w:pStyle w:val="ANOTACION"/>
              <w:spacing w:before="0" w:after="0" w:line="224" w:lineRule="exact"/>
              <w:jc w:val="left"/>
              <w:rPr>
                <w:rFonts w:ascii="Verdana" w:hAnsi="Verdana"/>
                <w:b w:val="0"/>
                <w:bCs/>
                <w:sz w:val="16"/>
                <w:szCs w:val="16"/>
              </w:rPr>
            </w:pPr>
          </w:p>
        </w:tc>
        <w:tc>
          <w:tcPr>
            <w:tcW w:w="4649" w:type="dxa"/>
          </w:tcPr>
          <w:p w14:paraId="25186086" w14:textId="77777777" w:rsidR="00F867DE" w:rsidRPr="00F867DE" w:rsidRDefault="00F867DE" w:rsidP="00F867DE">
            <w:pPr>
              <w:pStyle w:val="ANOTACION"/>
              <w:spacing w:before="0" w:after="0" w:line="224" w:lineRule="exact"/>
              <w:jc w:val="left"/>
              <w:rPr>
                <w:rFonts w:ascii="Verdana" w:hAnsi="Verdana"/>
                <w:b w:val="0"/>
                <w:bCs/>
                <w:sz w:val="16"/>
                <w:szCs w:val="16"/>
                <w:lang w:val="en-US"/>
              </w:rPr>
            </w:pPr>
          </w:p>
        </w:tc>
      </w:tr>
      <w:tr w:rsidR="009849AC" w:rsidRPr="002C0F16" w14:paraId="212D3358" w14:textId="77777777" w:rsidTr="00F867DE">
        <w:tc>
          <w:tcPr>
            <w:tcW w:w="4711" w:type="dxa"/>
          </w:tcPr>
          <w:p w14:paraId="3A8E6073" w14:textId="5CD7C275" w:rsidR="009849AC" w:rsidRPr="00F867DE" w:rsidRDefault="009849AC" w:rsidP="00AD6106">
            <w:pPr>
              <w:pStyle w:val="ANOTACION"/>
              <w:spacing w:before="0" w:after="0" w:line="224" w:lineRule="exact"/>
              <w:rPr>
                <w:rFonts w:ascii="Verdana" w:hAnsi="Verdana"/>
                <w:b w:val="0"/>
                <w:bCs/>
                <w:sz w:val="16"/>
                <w:szCs w:val="16"/>
              </w:rPr>
            </w:pPr>
            <w:r w:rsidRPr="00837D4A">
              <w:rPr>
                <w:rFonts w:ascii="Verdana" w:hAnsi="Verdana"/>
                <w:sz w:val="16"/>
                <w:szCs w:val="16"/>
              </w:rPr>
              <w:t>REGLAMENTO DE LA LEY DEL SECTOR HIDROCARBUROS</w:t>
            </w:r>
          </w:p>
        </w:tc>
        <w:tc>
          <w:tcPr>
            <w:tcW w:w="4649" w:type="dxa"/>
          </w:tcPr>
          <w:p w14:paraId="0316EA75" w14:textId="5C4BF9DD" w:rsidR="009849AC" w:rsidRPr="00F867DE" w:rsidRDefault="009849AC" w:rsidP="00AD6106">
            <w:pPr>
              <w:pStyle w:val="ANOTACION"/>
              <w:spacing w:before="0" w:after="0" w:line="224" w:lineRule="exact"/>
              <w:rPr>
                <w:rFonts w:ascii="Verdana" w:hAnsi="Verdana"/>
                <w:b w:val="0"/>
                <w:bCs/>
                <w:sz w:val="16"/>
                <w:szCs w:val="16"/>
                <w:lang w:val="en-US"/>
              </w:rPr>
            </w:pPr>
            <w:r w:rsidRPr="00837D4A">
              <w:rPr>
                <w:rFonts w:ascii="Verdana" w:hAnsi="Verdana"/>
                <w:sz w:val="16"/>
                <w:szCs w:val="16"/>
                <w:lang w:val="en-US"/>
              </w:rPr>
              <w:t>REGULATION OF THE LAW OF THE HYDROCARBONS SECTOR</w:t>
            </w:r>
          </w:p>
        </w:tc>
      </w:tr>
      <w:tr w:rsidR="009849AC" w:rsidRPr="00D0180E" w14:paraId="3689B4FA" w14:textId="4E05C6BA" w:rsidTr="00F867DE">
        <w:tc>
          <w:tcPr>
            <w:tcW w:w="4711" w:type="dxa"/>
          </w:tcPr>
          <w:p w14:paraId="1B6CC336"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TÍTULO PRIMERO</w:t>
            </w:r>
          </w:p>
        </w:tc>
        <w:tc>
          <w:tcPr>
            <w:tcW w:w="4649" w:type="dxa"/>
          </w:tcPr>
          <w:p w14:paraId="4EA5A95B" w14:textId="2CBC3680" w:rsidR="009849AC" w:rsidRPr="00837D4A" w:rsidRDefault="009849AC" w:rsidP="009849AC">
            <w:pPr>
              <w:pStyle w:val="Texto"/>
              <w:spacing w:line="224" w:lineRule="exact"/>
              <w:ind w:firstLine="0"/>
              <w:jc w:val="center"/>
              <w:rPr>
                <w:rFonts w:ascii="Verdana" w:hAnsi="Verdana"/>
                <w:b/>
                <w:sz w:val="16"/>
                <w:szCs w:val="16"/>
                <w:lang w:val="en-US"/>
              </w:rPr>
            </w:pPr>
            <w:r w:rsidRPr="00837D4A">
              <w:rPr>
                <w:rFonts w:ascii="Verdana" w:hAnsi="Verdana"/>
                <w:b/>
                <w:sz w:val="16"/>
                <w:szCs w:val="16"/>
              </w:rPr>
              <w:t>FIRST TITLE</w:t>
            </w:r>
          </w:p>
        </w:tc>
      </w:tr>
      <w:tr w:rsidR="009849AC" w:rsidRPr="00D0180E" w14:paraId="39C8C62A" w14:textId="445EF574" w:rsidTr="00F867DE">
        <w:tc>
          <w:tcPr>
            <w:tcW w:w="4711" w:type="dxa"/>
          </w:tcPr>
          <w:p w14:paraId="5BF0A3CD"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DEL SECTOR HIDROCARBUROS</w:t>
            </w:r>
          </w:p>
        </w:tc>
        <w:tc>
          <w:tcPr>
            <w:tcW w:w="4649" w:type="dxa"/>
          </w:tcPr>
          <w:p w14:paraId="09FB447A" w14:textId="530C925F" w:rsidR="009849AC" w:rsidRPr="00837D4A" w:rsidRDefault="009849AC" w:rsidP="009849AC">
            <w:pPr>
              <w:pStyle w:val="Texto"/>
              <w:spacing w:line="224" w:lineRule="exact"/>
              <w:ind w:firstLine="0"/>
              <w:jc w:val="center"/>
              <w:rPr>
                <w:rFonts w:ascii="Verdana" w:hAnsi="Verdana"/>
                <w:b/>
                <w:sz w:val="16"/>
                <w:szCs w:val="16"/>
                <w:lang w:val="en-US"/>
              </w:rPr>
            </w:pPr>
            <w:r w:rsidRPr="00837D4A">
              <w:rPr>
                <w:rFonts w:ascii="Verdana" w:hAnsi="Verdana"/>
                <w:b/>
                <w:sz w:val="16"/>
                <w:szCs w:val="16"/>
              </w:rPr>
              <w:t>THE HYDROCARBON SECTOR</w:t>
            </w:r>
          </w:p>
        </w:tc>
      </w:tr>
      <w:tr w:rsidR="009849AC" w:rsidRPr="00D0180E" w14:paraId="1C3D4D48" w14:textId="077EADED" w:rsidTr="00F867DE">
        <w:tc>
          <w:tcPr>
            <w:tcW w:w="4711" w:type="dxa"/>
          </w:tcPr>
          <w:p w14:paraId="6667192A"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Capítulo Único</w:t>
            </w:r>
          </w:p>
        </w:tc>
        <w:tc>
          <w:tcPr>
            <w:tcW w:w="4649" w:type="dxa"/>
          </w:tcPr>
          <w:p w14:paraId="21E31A04" w14:textId="6317974A" w:rsidR="009849AC" w:rsidRPr="00837D4A" w:rsidRDefault="009849AC" w:rsidP="009849AC">
            <w:pPr>
              <w:pStyle w:val="Texto"/>
              <w:spacing w:line="224" w:lineRule="exact"/>
              <w:ind w:firstLine="0"/>
              <w:jc w:val="center"/>
              <w:rPr>
                <w:rFonts w:ascii="Verdana" w:hAnsi="Verdana"/>
                <w:b/>
                <w:sz w:val="16"/>
                <w:szCs w:val="16"/>
                <w:lang w:val="en-US"/>
              </w:rPr>
            </w:pPr>
            <w:r w:rsidRPr="00837D4A">
              <w:rPr>
                <w:rFonts w:ascii="Verdana" w:hAnsi="Verdana"/>
                <w:b/>
                <w:sz w:val="16"/>
                <w:szCs w:val="16"/>
              </w:rPr>
              <w:t xml:space="preserve">Sole </w:t>
            </w:r>
            <w:proofErr w:type="spellStart"/>
            <w:r w:rsidRPr="00837D4A">
              <w:rPr>
                <w:rFonts w:ascii="Verdana" w:hAnsi="Verdana"/>
                <w:b/>
                <w:sz w:val="16"/>
                <w:szCs w:val="16"/>
              </w:rPr>
              <w:t>Chapter</w:t>
            </w:r>
            <w:proofErr w:type="spellEnd"/>
          </w:p>
        </w:tc>
      </w:tr>
      <w:tr w:rsidR="009849AC" w:rsidRPr="00D0180E" w14:paraId="51DC8383" w14:textId="2069D8C8" w:rsidTr="00F867DE">
        <w:tc>
          <w:tcPr>
            <w:tcW w:w="4711" w:type="dxa"/>
          </w:tcPr>
          <w:p w14:paraId="76CA81A5"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Disposiciones Generales</w:t>
            </w:r>
          </w:p>
        </w:tc>
        <w:tc>
          <w:tcPr>
            <w:tcW w:w="4649" w:type="dxa"/>
          </w:tcPr>
          <w:p w14:paraId="17AE3585" w14:textId="123BCE6B" w:rsidR="009849AC" w:rsidRPr="00837D4A" w:rsidRDefault="009849AC" w:rsidP="009849AC">
            <w:pPr>
              <w:pStyle w:val="Texto"/>
              <w:spacing w:line="224" w:lineRule="exact"/>
              <w:ind w:firstLine="0"/>
              <w:jc w:val="center"/>
              <w:rPr>
                <w:rFonts w:ascii="Verdana" w:hAnsi="Verdana"/>
                <w:b/>
                <w:sz w:val="16"/>
                <w:szCs w:val="16"/>
                <w:lang w:val="en-US"/>
              </w:rPr>
            </w:pPr>
            <w:r w:rsidRPr="00837D4A">
              <w:rPr>
                <w:rFonts w:ascii="Verdana" w:hAnsi="Verdana"/>
                <w:b/>
                <w:sz w:val="16"/>
                <w:szCs w:val="16"/>
              </w:rPr>
              <w:t xml:space="preserve">General </w:t>
            </w:r>
            <w:proofErr w:type="spellStart"/>
            <w:r w:rsidRPr="00837D4A">
              <w:rPr>
                <w:rFonts w:ascii="Verdana" w:hAnsi="Verdana"/>
                <w:b/>
                <w:sz w:val="16"/>
                <w:szCs w:val="16"/>
              </w:rPr>
              <w:t>Provisions</w:t>
            </w:r>
            <w:proofErr w:type="spellEnd"/>
          </w:p>
        </w:tc>
      </w:tr>
      <w:tr w:rsidR="009849AC" w:rsidRPr="001C67B7" w14:paraId="192B0A72" w14:textId="1147E006" w:rsidTr="00F867DE">
        <w:tc>
          <w:tcPr>
            <w:tcW w:w="4711" w:type="dxa"/>
          </w:tcPr>
          <w:p w14:paraId="13AE1A13"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1.</w:t>
            </w:r>
            <w:r w:rsidRPr="00837D4A">
              <w:rPr>
                <w:rFonts w:ascii="Verdana" w:hAnsi="Verdana"/>
                <w:sz w:val="16"/>
                <w:szCs w:val="16"/>
              </w:rPr>
              <w:t xml:space="preserve"> El presente ordenamiento es de observancia general y obligatoria en los Estados Unidos Mexicanos y tiene por objeto regular la aplicación y las actividades previstas en la Ley del Sector Hidrocarburos.</w:t>
            </w:r>
          </w:p>
        </w:tc>
        <w:tc>
          <w:tcPr>
            <w:tcW w:w="4649" w:type="dxa"/>
          </w:tcPr>
          <w:p w14:paraId="0D69FC35" w14:textId="09F4639E"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1. </w:t>
            </w:r>
            <w:r w:rsidRPr="00837D4A">
              <w:rPr>
                <w:rFonts w:ascii="Verdana" w:hAnsi="Verdana"/>
                <w:sz w:val="16"/>
                <w:szCs w:val="16"/>
                <w:lang w:val="en-US"/>
              </w:rPr>
              <w:t>This regulation is of general and mandatory observance in the United Mexican States and its purpose is to regulate the application and activities provided for in the Law of the Hydrocarbons Sector.</w:t>
            </w:r>
          </w:p>
        </w:tc>
      </w:tr>
      <w:tr w:rsidR="009849AC" w:rsidRPr="002C0F16" w14:paraId="600B7C6E" w14:textId="35FD2F4F" w:rsidTr="00F867DE">
        <w:tc>
          <w:tcPr>
            <w:tcW w:w="4711" w:type="dxa"/>
          </w:tcPr>
          <w:p w14:paraId="233C6C17"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2.</w:t>
            </w:r>
            <w:r w:rsidRPr="00837D4A">
              <w:rPr>
                <w:rFonts w:ascii="Verdana" w:hAnsi="Verdana"/>
                <w:sz w:val="16"/>
                <w:szCs w:val="16"/>
              </w:rPr>
              <w:t xml:space="preserve"> Corresponde a la Secretaría de Energía, la Secretaría de Hacienda y Crédito Público, la Secretaría de Economía, a la Comisión Nacional de Energía, así como a la Agencia Nacional de Seguridad Industrial y de Protección al Medio Ambiente del Sector Hidrocarburos, en el ámbito de sus respectivas competencias, la emisión o en su caso, actualización de los actos administrativos de carácter general, tales como acuerdos, normas, Normas Oficiales Mexicanas, estándares, circulares, formatos, permisos, aprobaciones y autorizaciones, así como los lineamientos, criterios, metodologías, guías, directivas, reglas, manuales, disposiciones que tengan por objeto establecer obligaciones generales o específicas y cualesquiera de naturaleza análoga a los actos anteriores, respecto de las actividades reguladas en la Ley del Sector Hidrocarburos y en este reglamento, sin perjuicio de las facultades que, en su caso, correspondan a otras dependencias y entidades de la Administración Pública Federal.</w:t>
            </w:r>
          </w:p>
        </w:tc>
        <w:tc>
          <w:tcPr>
            <w:tcW w:w="4649" w:type="dxa"/>
          </w:tcPr>
          <w:p w14:paraId="4D0CAA10" w14:textId="38EBEA24"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2. </w:t>
            </w:r>
            <w:r w:rsidRPr="00837D4A">
              <w:rPr>
                <w:rFonts w:ascii="Verdana" w:hAnsi="Verdana"/>
                <w:sz w:val="16"/>
                <w:szCs w:val="16"/>
                <w:lang w:val="en-US"/>
              </w:rPr>
              <w:t>The Secretary of Energy, the Secretary of Finance and Public Credit, the Secretary of Economy, the National Energy Commission, as well as the National Agency for Industrial Safety and Environmental Protection of the Hydrocarbon Sector, within the scope of their respective powers, are responsible for issuing or, where appropriate, updating administrative acts of a general nature, such as agreements, Norms, Official Mexican Standards, standards, circulars, formats, permits, approvals and authorizations, as well as guidelines, criteria, methodologies, guides, directives, rules, manuals, provisions that aim to establish general or specific obligations and any of a similar nature to the previous acts, with respect to the activities regulated by the Law of the Hydrocarbons Sector and by this regulation, without prejudice to the powers that, where appropriate, correspond to other agencies and entities of the Federal Public Administration.</w:t>
            </w:r>
          </w:p>
        </w:tc>
      </w:tr>
      <w:tr w:rsidR="009849AC" w:rsidRPr="002C0F16" w14:paraId="388E754C" w14:textId="79E502C6" w:rsidTr="00F867DE">
        <w:tc>
          <w:tcPr>
            <w:tcW w:w="4711" w:type="dxa"/>
          </w:tcPr>
          <w:p w14:paraId="33B16C24"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3.</w:t>
            </w:r>
            <w:r w:rsidRPr="00837D4A">
              <w:rPr>
                <w:rFonts w:ascii="Verdana" w:hAnsi="Verdana"/>
                <w:sz w:val="16"/>
                <w:szCs w:val="16"/>
              </w:rPr>
              <w:t xml:space="preserve"> Para efectos de este reglamento, además de las definiciones previstas en el artículo 5 de la Ley del Sector Hidrocarburos se entiende, en singular o plural, por:</w:t>
            </w:r>
          </w:p>
        </w:tc>
        <w:tc>
          <w:tcPr>
            <w:tcW w:w="4649" w:type="dxa"/>
          </w:tcPr>
          <w:p w14:paraId="61A85366" w14:textId="3BD49445"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3. </w:t>
            </w:r>
            <w:r w:rsidRPr="00837D4A">
              <w:rPr>
                <w:rFonts w:ascii="Verdana" w:hAnsi="Verdana"/>
                <w:sz w:val="16"/>
                <w:szCs w:val="16"/>
                <w:lang w:val="en-US"/>
              </w:rPr>
              <w:t>For the purposes of this regulation, in addition to the definitions provided for in Article 5 of the Law of the Hydrocarbons Sector, the following are understood, in singular or plural:</w:t>
            </w:r>
          </w:p>
        </w:tc>
      </w:tr>
      <w:tr w:rsidR="009849AC" w:rsidRPr="002C0F16" w14:paraId="6C268895" w14:textId="1194586F" w:rsidTr="00F867DE">
        <w:tc>
          <w:tcPr>
            <w:tcW w:w="4711" w:type="dxa"/>
          </w:tcPr>
          <w:p w14:paraId="4C36C4BE"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 xml:space="preserve">Acceso Abierto No Indebidamente Discriminatorio: Obligación de las personas Permisionarias de Transporte y Distribución por medio de Ductos, y de Almacenamiento de Hidrocarburos, </w:t>
            </w:r>
            <w:r w:rsidRPr="00837D4A">
              <w:rPr>
                <w:rFonts w:ascii="Verdana" w:hAnsi="Verdana"/>
                <w:sz w:val="16"/>
                <w:szCs w:val="16"/>
              </w:rPr>
              <w:lastRenderedPageBreak/>
              <w:t>Petrolíferos y Petroquímicos de prestar los servicios inherentes a estas actividades reguladas, y dar acceso a las instalaciones, sujetas a su cargo, de acuerdo con la disponibilidad de capacidad en sus Sistemas, a personas Usuarias o Usuarias Finales bajo los principios de generalidad e igualdad;</w:t>
            </w:r>
          </w:p>
        </w:tc>
        <w:tc>
          <w:tcPr>
            <w:tcW w:w="4649" w:type="dxa"/>
          </w:tcPr>
          <w:p w14:paraId="03114EC7" w14:textId="5A692DF0"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lastRenderedPageBreak/>
              <w:t xml:space="preserve">I. </w:t>
            </w:r>
            <w:r w:rsidRPr="00837D4A">
              <w:rPr>
                <w:rFonts w:ascii="Verdana" w:hAnsi="Verdana"/>
                <w:b/>
                <w:sz w:val="16"/>
                <w:szCs w:val="16"/>
                <w:lang w:val="en-US"/>
              </w:rPr>
              <w:tab/>
            </w:r>
            <w:r w:rsidRPr="00837D4A">
              <w:rPr>
                <w:rFonts w:ascii="Verdana" w:hAnsi="Verdana"/>
                <w:sz w:val="16"/>
                <w:szCs w:val="16"/>
                <w:lang w:val="en-US"/>
              </w:rPr>
              <w:t xml:space="preserve">Non-Unduly Discriminatory Open Access: Obligation of Permit Holders of Transportation and Distribution through Pipelines, and Storage of Hydrocarbons, Petroleum Products and Petrochemicals </w:t>
            </w:r>
            <w:r w:rsidRPr="00837D4A">
              <w:rPr>
                <w:rFonts w:ascii="Verdana" w:hAnsi="Verdana"/>
                <w:sz w:val="16"/>
                <w:szCs w:val="16"/>
                <w:lang w:val="en-US"/>
              </w:rPr>
              <w:lastRenderedPageBreak/>
              <w:t>to provide the services inherent to these regulated activities, and to give access to the facilities, subject to their charge, in accordance with the availability of capacity in their Systems, to Users or End Users under the principles of generality and equality;</w:t>
            </w:r>
          </w:p>
        </w:tc>
      </w:tr>
      <w:tr w:rsidR="009849AC" w:rsidRPr="002C0F16" w14:paraId="09DC1CF5" w14:textId="4A07E177" w:rsidTr="00F867DE">
        <w:tc>
          <w:tcPr>
            <w:tcW w:w="4711" w:type="dxa"/>
          </w:tcPr>
          <w:p w14:paraId="1D52BAFC"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lastRenderedPageBreak/>
              <w:t>II.</w:t>
            </w:r>
            <w:r w:rsidRPr="00837D4A">
              <w:rPr>
                <w:rFonts w:ascii="Verdana" w:hAnsi="Verdana"/>
                <w:b/>
                <w:sz w:val="16"/>
                <w:szCs w:val="16"/>
              </w:rPr>
              <w:tab/>
            </w:r>
            <w:r w:rsidRPr="00837D4A">
              <w:rPr>
                <w:rFonts w:ascii="Verdana" w:hAnsi="Verdana"/>
                <w:sz w:val="16"/>
                <w:szCs w:val="16"/>
              </w:rPr>
              <w:t>Alterar o Adulterar: Actividad ilícita que consiste en cambiar o modificar la composición química o las propiedades fisicoquímicas de Hidrocarburos, Petrolíferos o Petroquímicos terminados o finales o que derivado de lo anterior, no cumplen con las especificaciones de calidad establecidas en las Normas Oficiales Mexicanas;</w:t>
            </w:r>
          </w:p>
        </w:tc>
        <w:tc>
          <w:tcPr>
            <w:tcW w:w="4649" w:type="dxa"/>
          </w:tcPr>
          <w:p w14:paraId="2B615C6A" w14:textId="2D64C3D1"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Alter or Adulterate: Illegal activity that consists of changing or modifying the chemical composition or the physicochemical properties of finished or final Hydrocarbons, Petroleum Products or Petrochemicals or that, as a result of the above, do not comply with the quality specifications established in the Official Mexican Standards;</w:t>
            </w:r>
          </w:p>
        </w:tc>
      </w:tr>
      <w:tr w:rsidR="009849AC" w:rsidRPr="002C0F16" w14:paraId="74E51780" w14:textId="5123123E" w:rsidTr="00F867DE">
        <w:tc>
          <w:tcPr>
            <w:tcW w:w="4711" w:type="dxa"/>
          </w:tcPr>
          <w:p w14:paraId="5C4F9A73"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proofErr w:type="spellStart"/>
            <w:r w:rsidRPr="00837D4A">
              <w:rPr>
                <w:rFonts w:ascii="Verdana" w:hAnsi="Verdana"/>
                <w:sz w:val="16"/>
                <w:szCs w:val="16"/>
              </w:rPr>
              <w:t>Auto-tanque</w:t>
            </w:r>
            <w:proofErr w:type="spellEnd"/>
            <w:r w:rsidRPr="00837D4A">
              <w:rPr>
                <w:rFonts w:ascii="Verdana" w:hAnsi="Verdana"/>
                <w:sz w:val="16"/>
                <w:szCs w:val="16"/>
              </w:rPr>
              <w:t>: Vehículo automotor que en su chasis tiene instalado en forma permanente uno o más Recipientes No Desmontables para el Transporte o la Distribución de Hidrocarburos, Petrolíferos o Petroquímicos en función del tipo de permiso otorgado;</w:t>
            </w:r>
          </w:p>
        </w:tc>
        <w:tc>
          <w:tcPr>
            <w:tcW w:w="4649" w:type="dxa"/>
          </w:tcPr>
          <w:p w14:paraId="497FB628" w14:textId="68CEB84E"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Tanker: Motor vehicle that has permanently installed on its chassis one or more non-removable containers for the transportation or distribution of hydrocarbons, petroleum products or petrochemicals depending on the type of permit granted;</w:t>
            </w:r>
          </w:p>
        </w:tc>
      </w:tr>
      <w:tr w:rsidR="009849AC" w:rsidRPr="002C0F16" w14:paraId="4B78DEE6" w14:textId="437BEA02" w:rsidTr="00F867DE">
        <w:tc>
          <w:tcPr>
            <w:tcW w:w="4711" w:type="dxa"/>
          </w:tcPr>
          <w:p w14:paraId="13C36EA8"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Beneficios Sociales Compartidos: Elementos que forman parte del Plan de Gestión Social que tienen el objetivo de contribuir al desarrollo integral y sostenible de las personas y comunidades que habitan el área de influencia del proyecto y que son definidos mediante procesos participativos con el fin de generar Impactos Sociales positivos perdurables en el ámbito social, económico y cultural;</w:t>
            </w:r>
          </w:p>
        </w:tc>
        <w:tc>
          <w:tcPr>
            <w:tcW w:w="4649" w:type="dxa"/>
          </w:tcPr>
          <w:p w14:paraId="03CD2187" w14:textId="0236AE10"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Shared Social Benefits: Elements that form part of the Social Management Plan that aim to contribute to the comprehensive and sustainable development of the people and communities that live in the project's area of influence and that are defined through participatory processes in order to generate lasting positive Social Impacts in the social, economic and cultural spheres;</w:t>
            </w:r>
          </w:p>
        </w:tc>
      </w:tr>
      <w:tr w:rsidR="009849AC" w:rsidRPr="002C0F16" w14:paraId="21DF46B3" w14:textId="6F8BE080" w:rsidTr="00F867DE">
        <w:tc>
          <w:tcPr>
            <w:tcW w:w="4711" w:type="dxa"/>
          </w:tcPr>
          <w:p w14:paraId="770BFC69"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Buque-tanque: Embarcación con uno o varios Recipientes No Desmontables que se utiliza para el Transporte marítimo o fluvial de Hidrocarburos, Petrolíferos y Petroquímicos o Almacenamiento o Regasificación de Gas Natural;</w:t>
            </w:r>
          </w:p>
        </w:tc>
        <w:tc>
          <w:tcPr>
            <w:tcW w:w="4649" w:type="dxa"/>
          </w:tcPr>
          <w:p w14:paraId="643091FF" w14:textId="76ADAD01"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Tanker ship: Vessel with one or more non-detachable containers used for maritime or river transportation of hydrocarbons, petroleum products and petrochemicals or storage or regasification of natural gas;</w:t>
            </w:r>
          </w:p>
        </w:tc>
      </w:tr>
      <w:tr w:rsidR="009849AC" w:rsidRPr="002C0F16" w14:paraId="03EAD608" w14:textId="365DDB73" w:rsidTr="00F867DE">
        <w:tc>
          <w:tcPr>
            <w:tcW w:w="4711" w:type="dxa"/>
          </w:tcPr>
          <w:p w14:paraId="0DA812ED"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Carro-tanque: Vehículo con uno o varios Recipientes No Desmontables que se utiliza para el Transporte por vía férrea de Hidrocarburos, Petrolíferos y Petroquímicos;</w:t>
            </w:r>
          </w:p>
        </w:tc>
        <w:tc>
          <w:tcPr>
            <w:tcW w:w="4649" w:type="dxa"/>
          </w:tcPr>
          <w:p w14:paraId="49B88F43" w14:textId="5A55EA02"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Tanker car: Vehicle with one or more non-detachable containers used for the transportation by rail of hydrocarbons, petroleum products and petrochemicals;</w:t>
            </w:r>
          </w:p>
        </w:tc>
      </w:tr>
      <w:tr w:rsidR="009849AC" w:rsidRPr="00D0180E" w14:paraId="1ED3FC72" w14:textId="485CD7EE" w:rsidTr="00F867DE">
        <w:tc>
          <w:tcPr>
            <w:tcW w:w="4711" w:type="dxa"/>
          </w:tcPr>
          <w:p w14:paraId="6321B2C4"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CENAGAS: Centro Nacional de Control del Gas Natural;</w:t>
            </w:r>
          </w:p>
        </w:tc>
        <w:tc>
          <w:tcPr>
            <w:tcW w:w="4649" w:type="dxa"/>
          </w:tcPr>
          <w:p w14:paraId="2CD49017" w14:textId="39B7A53F" w:rsidR="009849AC" w:rsidRPr="00837D4A" w:rsidRDefault="009849AC" w:rsidP="009849AC">
            <w:pPr>
              <w:pStyle w:val="Texto"/>
              <w:spacing w:line="219" w:lineRule="exact"/>
              <w:ind w:firstLine="0"/>
              <w:rPr>
                <w:rFonts w:ascii="Verdana" w:hAnsi="Verdana"/>
                <w:b/>
                <w:sz w:val="16"/>
                <w:szCs w:val="16"/>
                <w:lang w:val="es-MX"/>
              </w:rPr>
            </w:pPr>
            <w:r w:rsidRPr="00837D4A">
              <w:rPr>
                <w:rFonts w:ascii="Verdana" w:hAnsi="Verdana"/>
                <w:b/>
                <w:sz w:val="16"/>
                <w:szCs w:val="16"/>
              </w:rPr>
              <w:t xml:space="preserve">VII. </w:t>
            </w:r>
            <w:r w:rsidRPr="00837D4A">
              <w:rPr>
                <w:rFonts w:ascii="Verdana" w:hAnsi="Verdana"/>
                <w:b/>
                <w:sz w:val="16"/>
                <w:szCs w:val="16"/>
              </w:rPr>
              <w:tab/>
            </w:r>
            <w:r w:rsidRPr="00837D4A">
              <w:rPr>
                <w:rFonts w:ascii="Verdana" w:hAnsi="Verdana"/>
                <w:sz w:val="16"/>
                <w:szCs w:val="16"/>
              </w:rPr>
              <w:t xml:space="preserve">CENAGAS: </w:t>
            </w:r>
            <w:proofErr w:type="spellStart"/>
            <w:r w:rsidRPr="00837D4A">
              <w:rPr>
                <w:rFonts w:ascii="Verdana" w:hAnsi="Verdana"/>
                <w:sz w:val="16"/>
                <w:szCs w:val="16"/>
              </w:rPr>
              <w:t>National</w:t>
            </w:r>
            <w:proofErr w:type="spellEnd"/>
            <w:r w:rsidRPr="00837D4A">
              <w:rPr>
                <w:rFonts w:ascii="Verdana" w:hAnsi="Verdana"/>
                <w:sz w:val="16"/>
                <w:szCs w:val="16"/>
              </w:rPr>
              <w:t xml:space="preserve"> Center </w:t>
            </w:r>
            <w:proofErr w:type="spellStart"/>
            <w:r w:rsidRPr="00837D4A">
              <w:rPr>
                <w:rFonts w:ascii="Verdana" w:hAnsi="Verdana"/>
                <w:sz w:val="16"/>
                <w:szCs w:val="16"/>
              </w:rPr>
              <w:t>for</w:t>
            </w:r>
            <w:proofErr w:type="spellEnd"/>
            <w:r w:rsidRPr="00837D4A">
              <w:rPr>
                <w:rFonts w:ascii="Verdana" w:hAnsi="Verdana"/>
                <w:sz w:val="16"/>
                <w:szCs w:val="16"/>
              </w:rPr>
              <w:t xml:space="preserve"> Natural Gas Control;</w:t>
            </w:r>
          </w:p>
        </w:tc>
      </w:tr>
      <w:tr w:rsidR="009849AC" w:rsidRPr="002C0F16" w14:paraId="1C442873" w14:textId="71A898E5" w:rsidTr="00F867DE">
        <w:tc>
          <w:tcPr>
            <w:tcW w:w="4711" w:type="dxa"/>
          </w:tcPr>
          <w:p w14:paraId="458862D4"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 xml:space="preserve">Central de Resguardo: Recinto utilizado para estacionar y pernoctar </w:t>
            </w:r>
            <w:proofErr w:type="spellStart"/>
            <w:r w:rsidRPr="00837D4A">
              <w:rPr>
                <w:rFonts w:ascii="Verdana" w:hAnsi="Verdana"/>
                <w:sz w:val="16"/>
                <w:szCs w:val="16"/>
              </w:rPr>
              <w:t>Auto-tanques</w:t>
            </w:r>
            <w:proofErr w:type="spellEnd"/>
            <w:r w:rsidRPr="00837D4A">
              <w:rPr>
                <w:rFonts w:ascii="Verdana" w:hAnsi="Verdana"/>
                <w:sz w:val="16"/>
                <w:szCs w:val="16"/>
              </w:rPr>
              <w:t>, Semirremolques o Vehículos de Reparto destinados al Transporte o Distribución por medios distintos a Ductos;</w:t>
            </w:r>
          </w:p>
        </w:tc>
        <w:tc>
          <w:tcPr>
            <w:tcW w:w="4649" w:type="dxa"/>
          </w:tcPr>
          <w:p w14:paraId="6BFE8186" w14:textId="036F3A5F"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Central Safekeeping: Enclosure used for parking and overnight storage of tanker trucks, semi-trailers or delivery vehicles intended for transportation or distribution by means other than pipelines;</w:t>
            </w:r>
          </w:p>
        </w:tc>
      </w:tr>
      <w:tr w:rsidR="009849AC" w:rsidRPr="002C0F16" w14:paraId="418749C5" w14:textId="1DBBE718" w:rsidTr="00F867DE">
        <w:tc>
          <w:tcPr>
            <w:tcW w:w="4711" w:type="dxa"/>
          </w:tcPr>
          <w:p w14:paraId="7DD0778D"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IX.</w:t>
            </w:r>
            <w:r w:rsidRPr="00837D4A">
              <w:rPr>
                <w:rFonts w:ascii="Verdana" w:hAnsi="Verdana"/>
                <w:b/>
                <w:sz w:val="16"/>
                <w:szCs w:val="16"/>
              </w:rPr>
              <w:tab/>
            </w:r>
            <w:r w:rsidRPr="00837D4A">
              <w:rPr>
                <w:rFonts w:ascii="Verdana" w:hAnsi="Verdana"/>
                <w:sz w:val="16"/>
                <w:szCs w:val="16"/>
              </w:rPr>
              <w:t>Comisión: Comisión Nacional de Energía;</w:t>
            </w:r>
          </w:p>
        </w:tc>
        <w:tc>
          <w:tcPr>
            <w:tcW w:w="4649" w:type="dxa"/>
          </w:tcPr>
          <w:p w14:paraId="4C9D4F79" w14:textId="43154692"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Commission: National Energy Commission;</w:t>
            </w:r>
          </w:p>
        </w:tc>
      </w:tr>
      <w:tr w:rsidR="009849AC" w:rsidRPr="001C67B7" w14:paraId="0C34586D" w14:textId="49FEA0EF" w:rsidTr="00F867DE">
        <w:tc>
          <w:tcPr>
            <w:tcW w:w="4711" w:type="dxa"/>
          </w:tcPr>
          <w:p w14:paraId="7E25D39E"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X.</w:t>
            </w:r>
            <w:r w:rsidRPr="00837D4A">
              <w:rPr>
                <w:rFonts w:ascii="Verdana" w:hAnsi="Verdana"/>
                <w:b/>
                <w:sz w:val="16"/>
                <w:szCs w:val="16"/>
              </w:rPr>
              <w:tab/>
            </w:r>
            <w:r w:rsidRPr="00837D4A">
              <w:rPr>
                <w:rFonts w:ascii="Verdana" w:hAnsi="Verdana"/>
                <w:sz w:val="16"/>
                <w:szCs w:val="16"/>
              </w:rPr>
              <w:t>Compresión: Actividad consistente en incrementar la presión del Gas Natural a fin de reducir su volumen a niveles que permitan el llenado de módulos</w:t>
            </w:r>
            <w:r w:rsidRPr="00837D4A">
              <w:rPr>
                <w:rFonts w:ascii="Verdana" w:hAnsi="Verdana"/>
                <w:b/>
                <w:sz w:val="16"/>
                <w:szCs w:val="16"/>
              </w:rPr>
              <w:t xml:space="preserve"> </w:t>
            </w:r>
            <w:r w:rsidRPr="00837D4A">
              <w:rPr>
                <w:rFonts w:ascii="Verdana" w:hAnsi="Verdana"/>
                <w:sz w:val="16"/>
                <w:szCs w:val="16"/>
              </w:rPr>
              <w:t>contenedores, para su posterior</w:t>
            </w:r>
            <w:r w:rsidRPr="00837D4A">
              <w:rPr>
                <w:rFonts w:ascii="Verdana" w:hAnsi="Verdana"/>
                <w:b/>
                <w:sz w:val="16"/>
                <w:szCs w:val="16"/>
              </w:rPr>
              <w:t xml:space="preserve"> </w:t>
            </w:r>
            <w:r w:rsidRPr="00837D4A">
              <w:rPr>
                <w:rFonts w:ascii="Verdana" w:hAnsi="Verdana"/>
                <w:sz w:val="16"/>
                <w:szCs w:val="16"/>
              </w:rPr>
              <w:t>Transporte o Distribución por medios distintos a Ductos y entrega a instalaciones de Descompresión, así como a personas Permisionarias de Expendio al Público de Gas Natural;</w:t>
            </w:r>
          </w:p>
        </w:tc>
        <w:tc>
          <w:tcPr>
            <w:tcW w:w="4649" w:type="dxa"/>
          </w:tcPr>
          <w:p w14:paraId="4870D1B5" w14:textId="3BBC82BC"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X. </w:t>
            </w:r>
            <w:r w:rsidRPr="00837D4A">
              <w:rPr>
                <w:rFonts w:ascii="Verdana" w:hAnsi="Verdana"/>
                <w:b/>
                <w:sz w:val="16"/>
                <w:szCs w:val="16"/>
                <w:lang w:val="en-US"/>
              </w:rPr>
              <w:tab/>
            </w:r>
            <w:r w:rsidRPr="00837D4A">
              <w:rPr>
                <w:rFonts w:ascii="Verdana" w:hAnsi="Verdana"/>
                <w:sz w:val="16"/>
                <w:szCs w:val="16"/>
                <w:lang w:val="en-US"/>
              </w:rPr>
              <w:t>Compression: Activity consisting of increasing the pressure of Natural Gas in order to reduce its volume to levels that allow the filling of modules.</w:t>
            </w:r>
            <w:r w:rsidRPr="00837D4A">
              <w:rPr>
                <w:rFonts w:ascii="Verdana" w:hAnsi="Verdana"/>
                <w:b/>
                <w:sz w:val="16"/>
                <w:szCs w:val="16"/>
                <w:lang w:val="en-US"/>
              </w:rPr>
              <w:t xml:space="preserve"> </w:t>
            </w:r>
            <w:r w:rsidRPr="00837D4A">
              <w:rPr>
                <w:rFonts w:ascii="Verdana" w:hAnsi="Verdana"/>
                <w:sz w:val="16"/>
                <w:szCs w:val="16"/>
                <w:lang w:val="en-US"/>
              </w:rPr>
              <w:t>containers, for later use</w:t>
            </w:r>
            <w:r w:rsidRPr="00837D4A">
              <w:rPr>
                <w:rFonts w:ascii="Verdana" w:hAnsi="Verdana"/>
                <w:b/>
                <w:sz w:val="16"/>
                <w:szCs w:val="16"/>
                <w:lang w:val="en-US"/>
              </w:rPr>
              <w:t xml:space="preserve"> </w:t>
            </w:r>
            <w:r w:rsidRPr="00837D4A">
              <w:rPr>
                <w:rFonts w:ascii="Verdana" w:hAnsi="Verdana"/>
                <w:sz w:val="16"/>
                <w:szCs w:val="16"/>
                <w:lang w:val="en-US"/>
              </w:rPr>
              <w:t>transportation or distribution by means other than pipelines and delivery to decompression facilities, as well as to persons that are holding permits for public sale of natural gas;</w:t>
            </w:r>
          </w:p>
        </w:tc>
      </w:tr>
      <w:tr w:rsidR="009849AC" w:rsidRPr="002314E3" w14:paraId="265383F4" w14:textId="2B29E146" w:rsidTr="00F867DE">
        <w:tc>
          <w:tcPr>
            <w:tcW w:w="4711" w:type="dxa"/>
          </w:tcPr>
          <w:p w14:paraId="4F31032C"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XI.</w:t>
            </w:r>
            <w:r w:rsidRPr="00837D4A">
              <w:rPr>
                <w:rFonts w:ascii="Verdana" w:hAnsi="Verdana"/>
                <w:b/>
                <w:sz w:val="16"/>
                <w:szCs w:val="16"/>
              </w:rPr>
              <w:tab/>
            </w:r>
            <w:r w:rsidRPr="00837D4A">
              <w:rPr>
                <w:rFonts w:ascii="Verdana" w:hAnsi="Verdana"/>
                <w:sz w:val="16"/>
                <w:szCs w:val="16"/>
              </w:rPr>
              <w:t xml:space="preserve">Condensados: Hidrocarburos líquidos que se separan del Gas Natural durante su extracción de los yacimientos o durante su procesamiento, cuando se modifican las condiciones de presión y temperatura, </w:t>
            </w:r>
            <w:r w:rsidRPr="00837D4A">
              <w:rPr>
                <w:rFonts w:ascii="Verdana" w:hAnsi="Verdana"/>
                <w:sz w:val="16"/>
                <w:szCs w:val="16"/>
              </w:rPr>
              <w:lastRenderedPageBreak/>
              <w:t>cuyo tratamiento y uso es equivalente al Petróleo, constituidos por alcanos de mayor peso molecular, principalmente por pentanos y componentes de Hidrocarburos más pesados;</w:t>
            </w:r>
          </w:p>
        </w:tc>
        <w:tc>
          <w:tcPr>
            <w:tcW w:w="4649" w:type="dxa"/>
          </w:tcPr>
          <w:p w14:paraId="00B41014" w14:textId="1F4F821B"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lastRenderedPageBreak/>
              <w:t xml:space="preserve">XI. </w:t>
            </w:r>
            <w:r w:rsidRPr="00837D4A">
              <w:rPr>
                <w:rFonts w:ascii="Verdana" w:hAnsi="Verdana"/>
                <w:b/>
                <w:sz w:val="16"/>
                <w:szCs w:val="16"/>
                <w:lang w:val="en-US"/>
              </w:rPr>
              <w:tab/>
            </w:r>
            <w:r w:rsidRPr="00837D4A">
              <w:rPr>
                <w:rFonts w:ascii="Verdana" w:hAnsi="Verdana"/>
                <w:sz w:val="16"/>
                <w:szCs w:val="16"/>
                <w:lang w:val="en-US"/>
              </w:rPr>
              <w:t xml:space="preserve">Condensates: Liquid hydrocarbons that are separated from natural gas during its extraction from the deposits or during its processing, when the pressure and temperature conditions are modified, whose </w:t>
            </w:r>
            <w:r w:rsidRPr="00837D4A">
              <w:rPr>
                <w:rFonts w:ascii="Verdana" w:hAnsi="Verdana"/>
                <w:sz w:val="16"/>
                <w:szCs w:val="16"/>
                <w:lang w:val="en-US"/>
              </w:rPr>
              <w:lastRenderedPageBreak/>
              <w:t>treatment and use is equivalent to petroleum, consisting of alkanes of higher molecular weight, mainly pentanes and heavier hydrocarbon components;</w:t>
            </w:r>
          </w:p>
        </w:tc>
      </w:tr>
      <w:tr w:rsidR="009849AC" w:rsidRPr="002314E3" w14:paraId="4DFADEA6" w14:textId="16D973FC" w:rsidTr="00F867DE">
        <w:tc>
          <w:tcPr>
            <w:tcW w:w="4711" w:type="dxa"/>
          </w:tcPr>
          <w:p w14:paraId="6CFA00BA"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lastRenderedPageBreak/>
              <w:t>XII.</w:t>
            </w:r>
            <w:r w:rsidRPr="00837D4A">
              <w:rPr>
                <w:rFonts w:ascii="Verdana" w:hAnsi="Verdana"/>
                <w:b/>
                <w:sz w:val="16"/>
                <w:szCs w:val="16"/>
              </w:rPr>
              <w:tab/>
            </w:r>
            <w:r w:rsidRPr="00837D4A">
              <w:rPr>
                <w:rFonts w:ascii="Verdana" w:hAnsi="Verdana"/>
                <w:sz w:val="16"/>
                <w:szCs w:val="16"/>
              </w:rPr>
              <w:t>Consejo Consultivo: Consejo Consultivo para el Fomento de la Industria de Hidrocarburos Nacional al que se refiere el artículo 161, fracción I, inciso e) de la Ley;</w:t>
            </w:r>
          </w:p>
        </w:tc>
        <w:tc>
          <w:tcPr>
            <w:tcW w:w="4649" w:type="dxa"/>
          </w:tcPr>
          <w:p w14:paraId="2F433E2D" w14:textId="7AEA26F0"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XII. </w:t>
            </w:r>
            <w:r w:rsidRPr="00837D4A">
              <w:rPr>
                <w:rFonts w:ascii="Verdana" w:hAnsi="Verdana"/>
                <w:b/>
                <w:sz w:val="16"/>
                <w:szCs w:val="16"/>
                <w:lang w:val="en-US"/>
              </w:rPr>
              <w:tab/>
            </w:r>
            <w:r w:rsidRPr="00837D4A">
              <w:rPr>
                <w:rFonts w:ascii="Verdana" w:hAnsi="Verdana"/>
                <w:sz w:val="16"/>
                <w:szCs w:val="16"/>
                <w:lang w:val="en-US"/>
              </w:rPr>
              <w:t>Advisory Council: Advisory Council for the promotion of the national hydrocarbon industry referred to in article 161, section I, subsection e) of the Law;</w:t>
            </w:r>
          </w:p>
        </w:tc>
      </w:tr>
      <w:tr w:rsidR="009849AC" w:rsidRPr="002314E3" w14:paraId="239D38FA" w14:textId="41B50918" w:rsidTr="00F867DE">
        <w:tc>
          <w:tcPr>
            <w:tcW w:w="4711" w:type="dxa"/>
          </w:tcPr>
          <w:p w14:paraId="2C3C628B" w14:textId="77777777" w:rsidR="009849AC" w:rsidRPr="00FD2D7A" w:rsidRDefault="009849AC" w:rsidP="009849AC">
            <w:pPr>
              <w:pStyle w:val="Texto"/>
              <w:spacing w:line="219" w:lineRule="exact"/>
              <w:ind w:firstLine="0"/>
              <w:rPr>
                <w:rFonts w:ascii="Verdana" w:hAnsi="Verdana"/>
                <w:sz w:val="16"/>
                <w:szCs w:val="16"/>
              </w:rPr>
            </w:pPr>
            <w:r w:rsidRPr="00FD2D7A">
              <w:rPr>
                <w:rFonts w:ascii="Verdana" w:hAnsi="Verdana"/>
                <w:b/>
                <w:sz w:val="16"/>
                <w:szCs w:val="16"/>
              </w:rPr>
              <w:t>XIII.</w:t>
            </w:r>
            <w:r w:rsidRPr="00FD2D7A">
              <w:rPr>
                <w:rFonts w:ascii="Verdana" w:hAnsi="Verdana"/>
                <w:b/>
                <w:sz w:val="16"/>
                <w:szCs w:val="16"/>
              </w:rPr>
              <w:tab/>
            </w:r>
            <w:r w:rsidRPr="00FD2D7A">
              <w:rPr>
                <w:rFonts w:ascii="Verdana" w:hAnsi="Verdana"/>
                <w:sz w:val="16"/>
                <w:szCs w:val="16"/>
              </w:rPr>
              <w:t>Consulta Previa: Procedimiento previo, libre e informado, desarrollado por la Secretaría, mediante el cual se ejerce el derecho colectivo de los pueblos y comunidades indígenas y afromexicanas a ser consultados cuando se prevea el desarrollo de proyectos del sector hidrocarburos, susceptibles de afectar directamente sus intereses y derechos;</w:t>
            </w:r>
          </w:p>
        </w:tc>
        <w:tc>
          <w:tcPr>
            <w:tcW w:w="4649" w:type="dxa"/>
          </w:tcPr>
          <w:p w14:paraId="592ABD83" w14:textId="0C814973" w:rsidR="009849AC" w:rsidRPr="00FD2D7A" w:rsidRDefault="009849AC" w:rsidP="009849AC">
            <w:pPr>
              <w:pStyle w:val="Texto"/>
              <w:spacing w:line="219" w:lineRule="exact"/>
              <w:ind w:firstLine="0"/>
              <w:rPr>
                <w:rFonts w:ascii="Verdana" w:hAnsi="Verdana"/>
                <w:b/>
                <w:sz w:val="16"/>
                <w:szCs w:val="16"/>
                <w:lang w:val="en-US"/>
              </w:rPr>
            </w:pPr>
            <w:r w:rsidRPr="00FD2D7A">
              <w:rPr>
                <w:rFonts w:ascii="Verdana" w:hAnsi="Verdana"/>
                <w:b/>
                <w:sz w:val="16"/>
                <w:szCs w:val="16"/>
                <w:lang w:val="en-US"/>
              </w:rPr>
              <w:t xml:space="preserve">XIII. </w:t>
            </w:r>
            <w:r w:rsidRPr="00FD2D7A">
              <w:rPr>
                <w:rFonts w:ascii="Verdana" w:hAnsi="Verdana"/>
                <w:b/>
                <w:sz w:val="16"/>
                <w:szCs w:val="16"/>
                <w:lang w:val="en-US"/>
              </w:rPr>
              <w:tab/>
            </w:r>
            <w:r w:rsidRPr="00FD2D7A">
              <w:rPr>
                <w:rFonts w:ascii="Verdana" w:hAnsi="Verdana"/>
                <w:sz w:val="16"/>
                <w:szCs w:val="16"/>
                <w:lang w:val="en-US"/>
              </w:rPr>
              <w:t>Prior Consultation: Free and informed prior procedure, developed by the Secretary, through which the collective right of indigenous and Afro-Mexican peoples and communities to be consulted is exercised when the development of hydrocarbon sector projects is planned, which may directly affect their interests and rights;</w:t>
            </w:r>
          </w:p>
        </w:tc>
      </w:tr>
      <w:tr w:rsidR="009849AC" w:rsidRPr="002314E3" w14:paraId="42810AD0" w14:textId="57B54060" w:rsidTr="00F867DE">
        <w:tc>
          <w:tcPr>
            <w:tcW w:w="4711" w:type="dxa"/>
          </w:tcPr>
          <w:p w14:paraId="619F976D"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XIV.</w:t>
            </w:r>
            <w:r w:rsidRPr="00837D4A">
              <w:rPr>
                <w:rFonts w:ascii="Verdana" w:hAnsi="Verdana"/>
                <w:b/>
                <w:sz w:val="16"/>
                <w:szCs w:val="16"/>
              </w:rPr>
              <w:tab/>
            </w:r>
            <w:r w:rsidRPr="00837D4A">
              <w:rPr>
                <w:rFonts w:ascii="Verdana" w:hAnsi="Verdana"/>
                <w:sz w:val="16"/>
                <w:szCs w:val="16"/>
              </w:rPr>
              <w:t>Contabilidad Regulatoria: Conjunto de criterios, principios y reglas de presentación y revelación de información contable de conformidad con la Normatividad aplicable que deben seguir las personas Permisionarias de las actividades reguladas;</w:t>
            </w:r>
          </w:p>
        </w:tc>
        <w:tc>
          <w:tcPr>
            <w:tcW w:w="4649" w:type="dxa"/>
          </w:tcPr>
          <w:p w14:paraId="5F739165" w14:textId="1B246567"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XIV. </w:t>
            </w:r>
            <w:r w:rsidRPr="00837D4A">
              <w:rPr>
                <w:rFonts w:ascii="Verdana" w:hAnsi="Verdana"/>
                <w:b/>
                <w:sz w:val="16"/>
                <w:szCs w:val="16"/>
                <w:lang w:val="en-US"/>
              </w:rPr>
              <w:tab/>
            </w:r>
            <w:r w:rsidRPr="00837D4A">
              <w:rPr>
                <w:rFonts w:ascii="Verdana" w:hAnsi="Verdana"/>
                <w:sz w:val="16"/>
                <w:szCs w:val="16"/>
                <w:lang w:val="en-US"/>
              </w:rPr>
              <w:t>Regulatory Accounting: Set of criteria, principles and rules for the presentation and disclosure of accounting information in accordance with the applicable legislations that must be followed by persons licensed for regulated activities;</w:t>
            </w:r>
          </w:p>
        </w:tc>
      </w:tr>
      <w:tr w:rsidR="009849AC" w:rsidRPr="002314E3" w14:paraId="72CA8043" w14:textId="6F9DA675" w:rsidTr="00F867DE">
        <w:tc>
          <w:tcPr>
            <w:tcW w:w="4711" w:type="dxa"/>
          </w:tcPr>
          <w:p w14:paraId="6B889BB6"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XV.</w:t>
            </w:r>
            <w:r w:rsidRPr="00837D4A">
              <w:rPr>
                <w:rFonts w:ascii="Verdana" w:hAnsi="Verdana"/>
                <w:b/>
                <w:sz w:val="16"/>
                <w:szCs w:val="16"/>
              </w:rPr>
              <w:tab/>
            </w:r>
            <w:r w:rsidRPr="00837D4A">
              <w:rPr>
                <w:rFonts w:ascii="Verdana" w:hAnsi="Verdana"/>
                <w:sz w:val="16"/>
                <w:szCs w:val="16"/>
              </w:rPr>
              <w:t>Descompresión: Actividad que se realiza mediante instalaciones y equipos, a efecto de reducir la presión del Gas Natural comprimido a niveles que permitan su inyección a un sistema de Transporte por medio de Ductos o en Instalaciones de Aprovechamiento;</w:t>
            </w:r>
          </w:p>
        </w:tc>
        <w:tc>
          <w:tcPr>
            <w:tcW w:w="4649" w:type="dxa"/>
          </w:tcPr>
          <w:p w14:paraId="0E07BD62" w14:textId="31D33D59"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XV. </w:t>
            </w:r>
            <w:r w:rsidRPr="00837D4A">
              <w:rPr>
                <w:rFonts w:ascii="Verdana" w:hAnsi="Verdana"/>
                <w:b/>
                <w:sz w:val="16"/>
                <w:szCs w:val="16"/>
                <w:lang w:val="en-US"/>
              </w:rPr>
              <w:tab/>
            </w:r>
            <w:r w:rsidRPr="00837D4A">
              <w:rPr>
                <w:rFonts w:ascii="Verdana" w:hAnsi="Verdana"/>
                <w:sz w:val="16"/>
                <w:szCs w:val="16"/>
                <w:lang w:val="en-US"/>
              </w:rPr>
              <w:t>Decompression: Activity carried out using facilities and equipment, in order to reduce the pressure of compressed Natural Gas to levels that allow its injection into a transportation system by means of pipelines or in utilization facilities;</w:t>
            </w:r>
          </w:p>
        </w:tc>
      </w:tr>
      <w:tr w:rsidR="009849AC" w:rsidRPr="007B432C" w14:paraId="7E0AD8CB" w14:textId="59F91B36" w:rsidTr="00F867DE">
        <w:tc>
          <w:tcPr>
            <w:tcW w:w="4711" w:type="dxa"/>
          </w:tcPr>
          <w:p w14:paraId="5DA780F3"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XVI.</w:t>
            </w:r>
            <w:r w:rsidRPr="00837D4A">
              <w:rPr>
                <w:rFonts w:ascii="Verdana" w:hAnsi="Verdana"/>
                <w:b/>
                <w:sz w:val="16"/>
                <w:szCs w:val="16"/>
              </w:rPr>
              <w:tab/>
            </w:r>
            <w:r w:rsidRPr="00837D4A">
              <w:rPr>
                <w:rFonts w:ascii="Verdana" w:hAnsi="Verdana"/>
                <w:sz w:val="16"/>
                <w:szCs w:val="16"/>
              </w:rPr>
              <w:t>Despacho para Autoconsumo: Actividad que consiste en recibir, guardar y suministrar Petrolíferos que se utilicen exclusivamente para el suministro de vehículos automotores que tenga en propiedad o posesión la persona Permisionada y estén directamente relacionados con su actividad económica u objeto social, sin que exista la posibilidad de vender dichos productos a Particulares; esta actividad debe llevarse a cabo en una instalación determinada que debe cumplir con las características que establezcan la Comisión y la Agencia y que puede ser, entre otras, una Estación de Servicio con Fin Específico;</w:t>
            </w:r>
          </w:p>
        </w:tc>
        <w:tc>
          <w:tcPr>
            <w:tcW w:w="4649" w:type="dxa"/>
          </w:tcPr>
          <w:p w14:paraId="4495D2D0" w14:textId="7D46A039"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XVI. </w:t>
            </w:r>
            <w:r w:rsidRPr="00837D4A">
              <w:rPr>
                <w:rFonts w:ascii="Verdana" w:hAnsi="Verdana"/>
                <w:b/>
                <w:sz w:val="16"/>
                <w:szCs w:val="16"/>
                <w:lang w:val="en-US"/>
              </w:rPr>
              <w:tab/>
            </w:r>
            <w:r w:rsidRPr="00837D4A">
              <w:rPr>
                <w:rFonts w:ascii="Verdana" w:hAnsi="Verdana"/>
                <w:sz w:val="16"/>
                <w:szCs w:val="16"/>
                <w:lang w:val="en-US"/>
              </w:rPr>
              <w:t>Dispatch for Self-Consumption: Activity consisting of receiving, storing, and supplying petroleum products used exclusively for the supply of motor vehicles owned or possessed by the Permitted Person and directly related to their economic activity or corporate purpose, without the possibility of selling said products to private individuals. This activity must be carried out in a specific facility that must comply with the characteristics established by the Commission and the Agency and which may be, among others, a special purpose service station.</w:t>
            </w:r>
          </w:p>
        </w:tc>
      </w:tr>
      <w:tr w:rsidR="009849AC" w:rsidRPr="002314E3" w14:paraId="0B5ED868" w14:textId="42C55A7E" w:rsidTr="00F867DE">
        <w:tc>
          <w:tcPr>
            <w:tcW w:w="4711" w:type="dxa"/>
          </w:tcPr>
          <w:p w14:paraId="012BE0E1"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XVII.</w:t>
            </w:r>
            <w:r w:rsidRPr="00837D4A">
              <w:rPr>
                <w:rFonts w:ascii="Verdana" w:hAnsi="Verdana"/>
                <w:b/>
                <w:sz w:val="16"/>
                <w:szCs w:val="16"/>
              </w:rPr>
              <w:tab/>
            </w:r>
            <w:r w:rsidRPr="00837D4A">
              <w:rPr>
                <w:rFonts w:ascii="Verdana" w:hAnsi="Verdana"/>
                <w:sz w:val="16"/>
                <w:szCs w:val="16"/>
              </w:rPr>
              <w:t>Diésel: Petrolífero compuesto por una mezcla compleja de Hidrocarburos, principalmente parafinas no ramificadas, que puede contener aditivos, destinado a utilizarse como combustible en los sectores eléctrico, automotriz, agrícola, marino e industrial y que cumple con la especificación de calidad prevista en la Norma Oficial Mexicana respectiva;</w:t>
            </w:r>
          </w:p>
        </w:tc>
        <w:tc>
          <w:tcPr>
            <w:tcW w:w="4649" w:type="dxa"/>
          </w:tcPr>
          <w:p w14:paraId="282D60F4" w14:textId="07D5D6C5"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XVII. </w:t>
            </w:r>
            <w:r w:rsidRPr="00837D4A">
              <w:rPr>
                <w:rFonts w:ascii="Verdana" w:hAnsi="Verdana"/>
                <w:b/>
                <w:sz w:val="16"/>
                <w:szCs w:val="16"/>
                <w:lang w:val="en-US"/>
              </w:rPr>
              <w:tab/>
            </w:r>
            <w:r w:rsidRPr="00837D4A">
              <w:rPr>
                <w:rFonts w:ascii="Verdana" w:hAnsi="Verdana"/>
                <w:sz w:val="16"/>
                <w:szCs w:val="16"/>
                <w:lang w:val="en-US"/>
              </w:rPr>
              <w:t>Diesel: Petroleum product composed of a complex mixture of hydrocarbons, mainly unbranched paraffins, which may contain additives, intended for use as fuel in the electrical, automotive, agricultural, marine and industrial sectors and which meets the quality specification provided for in the respective Official Mexican Standard;</w:t>
            </w:r>
          </w:p>
        </w:tc>
      </w:tr>
      <w:tr w:rsidR="009849AC" w:rsidRPr="002314E3" w14:paraId="40BB8E51" w14:textId="6FED278F" w:rsidTr="00F867DE">
        <w:tc>
          <w:tcPr>
            <w:tcW w:w="4711" w:type="dxa"/>
          </w:tcPr>
          <w:p w14:paraId="50A0B7E4"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XVIII.</w:t>
            </w:r>
            <w:r w:rsidRPr="00837D4A">
              <w:rPr>
                <w:rFonts w:ascii="Verdana" w:hAnsi="Verdana"/>
                <w:b/>
                <w:sz w:val="16"/>
                <w:szCs w:val="16"/>
              </w:rPr>
              <w:tab/>
            </w:r>
            <w:r w:rsidRPr="00837D4A">
              <w:rPr>
                <w:rFonts w:ascii="Verdana" w:hAnsi="Verdana"/>
                <w:sz w:val="16"/>
                <w:szCs w:val="16"/>
              </w:rPr>
              <w:t>Ductos: Tuberías, equipos y componentes para el Transporte de Hidrocarburos, Petrolíferos o Petroquímicos, así como para la Distribución de Petrolíferos y Gas Natural;</w:t>
            </w:r>
          </w:p>
        </w:tc>
        <w:tc>
          <w:tcPr>
            <w:tcW w:w="4649" w:type="dxa"/>
          </w:tcPr>
          <w:p w14:paraId="78139E9E" w14:textId="55B1D7C9"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XVIII. </w:t>
            </w:r>
            <w:r w:rsidRPr="00837D4A">
              <w:rPr>
                <w:rFonts w:ascii="Verdana" w:hAnsi="Verdana"/>
                <w:b/>
                <w:sz w:val="16"/>
                <w:szCs w:val="16"/>
                <w:lang w:val="en-US"/>
              </w:rPr>
              <w:tab/>
            </w:r>
            <w:r w:rsidRPr="00837D4A">
              <w:rPr>
                <w:rFonts w:ascii="Verdana" w:hAnsi="Verdana"/>
                <w:sz w:val="16"/>
                <w:szCs w:val="16"/>
                <w:lang w:val="en-US"/>
              </w:rPr>
              <w:t>Pipelines: Pipes, equipment and components for the transportation of hydrocarbons, petroleum products or petrochemicals, as well as for the distribution of petroleum products and natural gas;</w:t>
            </w:r>
          </w:p>
        </w:tc>
      </w:tr>
      <w:tr w:rsidR="009849AC" w:rsidRPr="002314E3" w14:paraId="64A956B2" w14:textId="23B91567" w:rsidTr="00F867DE">
        <w:tc>
          <w:tcPr>
            <w:tcW w:w="4711" w:type="dxa"/>
          </w:tcPr>
          <w:p w14:paraId="764F8B8B"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XIX.</w:t>
            </w:r>
            <w:r w:rsidRPr="00837D4A">
              <w:rPr>
                <w:rFonts w:ascii="Verdana" w:hAnsi="Verdana"/>
                <w:b/>
                <w:sz w:val="16"/>
                <w:szCs w:val="16"/>
              </w:rPr>
              <w:tab/>
            </w:r>
            <w:r w:rsidRPr="00837D4A">
              <w:rPr>
                <w:rFonts w:ascii="Verdana" w:hAnsi="Verdana"/>
                <w:sz w:val="16"/>
                <w:szCs w:val="16"/>
              </w:rPr>
              <w:t xml:space="preserve">Estación de Servicio con Fin Específico: Instalación que cuenta con la infraestructura y equipos necesarios para llevar a cabo el llenado parcial o total para el Expendio al Público de Gas Natural para vehículos automotores, Petrolíferos para vehículos automotores, Recipientes Portátiles y Recipientes </w:t>
            </w:r>
            <w:r w:rsidRPr="00837D4A">
              <w:rPr>
                <w:rFonts w:ascii="Verdana" w:hAnsi="Verdana"/>
                <w:sz w:val="16"/>
                <w:szCs w:val="16"/>
              </w:rPr>
              <w:lastRenderedPageBreak/>
              <w:t>Transportables no sujetos a presión, para el Expendio al Público de Gas Licuado de Petróleo en Recipientes Portátiles a presión o para el Despacho para Autoconsumo;</w:t>
            </w:r>
          </w:p>
        </w:tc>
        <w:tc>
          <w:tcPr>
            <w:tcW w:w="4649" w:type="dxa"/>
          </w:tcPr>
          <w:p w14:paraId="0E76C997" w14:textId="241CC0D8"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lastRenderedPageBreak/>
              <w:t xml:space="preserve">XIX. </w:t>
            </w:r>
            <w:r w:rsidRPr="00837D4A">
              <w:rPr>
                <w:rFonts w:ascii="Verdana" w:hAnsi="Verdana"/>
                <w:b/>
                <w:sz w:val="16"/>
                <w:szCs w:val="16"/>
                <w:lang w:val="en-US"/>
              </w:rPr>
              <w:tab/>
            </w:r>
            <w:r w:rsidRPr="00837D4A">
              <w:rPr>
                <w:rFonts w:ascii="Verdana" w:hAnsi="Verdana"/>
                <w:sz w:val="16"/>
                <w:szCs w:val="16"/>
                <w:lang w:val="en-US"/>
              </w:rPr>
              <w:t xml:space="preserve">Specific Purpose Service Station: Facility that has the necessary infrastructure and equipment to carry out partial or total filling for the public sale of natural gas for motor vehicles, petroleum products for motor vehicles, portable containers and transportable containers not subject to pressure, for the public sale </w:t>
            </w:r>
            <w:r w:rsidRPr="00837D4A">
              <w:rPr>
                <w:rFonts w:ascii="Verdana" w:hAnsi="Verdana"/>
                <w:sz w:val="16"/>
                <w:szCs w:val="16"/>
                <w:lang w:val="en-US"/>
              </w:rPr>
              <w:lastRenderedPageBreak/>
              <w:t>of liquefied petroleum gas in portable pressurized containers or for dispatch for self-consumption;</w:t>
            </w:r>
          </w:p>
        </w:tc>
      </w:tr>
      <w:tr w:rsidR="009849AC" w:rsidRPr="002314E3" w14:paraId="0E22D6EB" w14:textId="7E207008" w:rsidTr="00F867DE">
        <w:tc>
          <w:tcPr>
            <w:tcW w:w="4711" w:type="dxa"/>
          </w:tcPr>
          <w:p w14:paraId="4F6FC69A"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lastRenderedPageBreak/>
              <w:t>XX.</w:t>
            </w:r>
            <w:r w:rsidRPr="00837D4A">
              <w:rPr>
                <w:rFonts w:ascii="Verdana" w:hAnsi="Verdana"/>
                <w:b/>
                <w:sz w:val="16"/>
                <w:szCs w:val="16"/>
              </w:rPr>
              <w:tab/>
            </w:r>
            <w:r w:rsidRPr="00837D4A">
              <w:rPr>
                <w:rFonts w:ascii="Verdana" w:hAnsi="Verdana"/>
                <w:sz w:val="16"/>
                <w:szCs w:val="16"/>
              </w:rPr>
              <w:t>Estudio de Impacto Social: Documento elaborado por la Secretaría que incluye las características demográficas y sociales generales de las poblaciones en las áreas donde se pretenden llevar a cabo obras de infraestructura y demás actividades al amparo de Asignaciones y Contratos;</w:t>
            </w:r>
          </w:p>
        </w:tc>
        <w:tc>
          <w:tcPr>
            <w:tcW w:w="4649" w:type="dxa"/>
          </w:tcPr>
          <w:p w14:paraId="3D76DC5E" w14:textId="2025A6D1"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XX. </w:t>
            </w:r>
            <w:r w:rsidRPr="00837D4A">
              <w:rPr>
                <w:rFonts w:ascii="Verdana" w:hAnsi="Verdana"/>
                <w:b/>
                <w:sz w:val="16"/>
                <w:szCs w:val="16"/>
                <w:lang w:val="en-US"/>
              </w:rPr>
              <w:tab/>
            </w:r>
            <w:r w:rsidRPr="00837D4A">
              <w:rPr>
                <w:rFonts w:ascii="Verdana" w:hAnsi="Verdana"/>
                <w:sz w:val="16"/>
                <w:szCs w:val="16"/>
                <w:lang w:val="en-US"/>
              </w:rPr>
              <w:t>Social Impact Study: Document prepared by the Secretary that includes the general demographic and social characteristics of the populations in the areas where infrastructure works and other activities are to be carried out under Assignments and Contracts;</w:t>
            </w:r>
          </w:p>
        </w:tc>
      </w:tr>
      <w:tr w:rsidR="009849AC" w:rsidRPr="002314E3" w14:paraId="138C9FCD" w14:textId="13F0C690" w:rsidTr="00F867DE">
        <w:tc>
          <w:tcPr>
            <w:tcW w:w="4711" w:type="dxa"/>
          </w:tcPr>
          <w:p w14:paraId="699BA818"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XXI.</w:t>
            </w:r>
            <w:r w:rsidRPr="00837D4A">
              <w:rPr>
                <w:rFonts w:ascii="Verdana" w:hAnsi="Verdana"/>
                <w:b/>
                <w:sz w:val="16"/>
                <w:szCs w:val="16"/>
              </w:rPr>
              <w:tab/>
            </w:r>
            <w:r w:rsidRPr="00837D4A">
              <w:rPr>
                <w:rFonts w:ascii="Verdana" w:hAnsi="Verdana"/>
                <w:sz w:val="16"/>
                <w:szCs w:val="16"/>
              </w:rPr>
              <w:t>Fondo Mexicano del Petróleo: Fondo Mexicano del Petróleo para la Estabilización y el Desarrollo;</w:t>
            </w:r>
          </w:p>
        </w:tc>
        <w:tc>
          <w:tcPr>
            <w:tcW w:w="4649" w:type="dxa"/>
          </w:tcPr>
          <w:p w14:paraId="16FE2F92" w14:textId="4349D1BD"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XXI. </w:t>
            </w:r>
            <w:r w:rsidRPr="00837D4A">
              <w:rPr>
                <w:rFonts w:ascii="Verdana" w:hAnsi="Verdana"/>
                <w:b/>
                <w:sz w:val="16"/>
                <w:szCs w:val="16"/>
                <w:lang w:val="en-US"/>
              </w:rPr>
              <w:tab/>
            </w:r>
            <w:r w:rsidRPr="00837D4A">
              <w:rPr>
                <w:rFonts w:ascii="Verdana" w:hAnsi="Verdana"/>
                <w:sz w:val="16"/>
                <w:szCs w:val="16"/>
                <w:lang w:val="en-US"/>
              </w:rPr>
              <w:t>Mexican Petroleum Fund: Mexican Petroleum Fund for Stabilization and Development;</w:t>
            </w:r>
          </w:p>
        </w:tc>
      </w:tr>
      <w:tr w:rsidR="009849AC" w:rsidRPr="002314E3" w14:paraId="3800EDD0" w14:textId="3073C2CA" w:rsidTr="00F867DE">
        <w:tc>
          <w:tcPr>
            <w:tcW w:w="4711" w:type="dxa"/>
          </w:tcPr>
          <w:p w14:paraId="14DB3159"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XXII.</w:t>
            </w:r>
            <w:r w:rsidRPr="00837D4A">
              <w:rPr>
                <w:rFonts w:ascii="Verdana" w:hAnsi="Verdana"/>
                <w:b/>
                <w:sz w:val="16"/>
                <w:szCs w:val="16"/>
              </w:rPr>
              <w:tab/>
            </w:r>
            <w:r w:rsidRPr="00837D4A">
              <w:rPr>
                <w:rFonts w:ascii="Verdana" w:hAnsi="Verdana"/>
                <w:sz w:val="16"/>
                <w:szCs w:val="16"/>
              </w:rPr>
              <w:t>Gasolina: Petrolífero formado por la mezcla de Hidrocarburos líquidos volátiles, parafinas ramificadas, aromáticos, naftenos, olefinas, que puede contener aditivos que se utilizan principalmente como combustible en motores de combustión interna de encendido por chispa, entre otras aplicaciones industriales, y que cumple con la especificación de calidad prevista en la Norma Oficial Mexicana respectiva;</w:t>
            </w:r>
          </w:p>
        </w:tc>
        <w:tc>
          <w:tcPr>
            <w:tcW w:w="4649" w:type="dxa"/>
          </w:tcPr>
          <w:p w14:paraId="6404958C" w14:textId="6F4DC0B0"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XXII. </w:t>
            </w:r>
            <w:r w:rsidRPr="00837D4A">
              <w:rPr>
                <w:rFonts w:ascii="Verdana" w:hAnsi="Verdana"/>
                <w:b/>
                <w:sz w:val="16"/>
                <w:szCs w:val="16"/>
                <w:lang w:val="en-US"/>
              </w:rPr>
              <w:tab/>
            </w:r>
            <w:r w:rsidRPr="00837D4A">
              <w:rPr>
                <w:rFonts w:ascii="Verdana" w:hAnsi="Verdana"/>
                <w:sz w:val="16"/>
                <w:szCs w:val="16"/>
                <w:lang w:val="en-US"/>
              </w:rPr>
              <w:t xml:space="preserve">Gasoline: Petroleum product formed by the mixture of volatile liquid hydrocarbons, branched paraffins, aromatics, </w:t>
            </w:r>
            <w:proofErr w:type="spellStart"/>
            <w:r w:rsidRPr="00837D4A">
              <w:rPr>
                <w:rFonts w:ascii="Verdana" w:hAnsi="Verdana"/>
                <w:sz w:val="16"/>
                <w:szCs w:val="16"/>
                <w:lang w:val="en-US"/>
              </w:rPr>
              <w:t>naphthenes</w:t>
            </w:r>
            <w:proofErr w:type="spellEnd"/>
            <w:r w:rsidRPr="00837D4A">
              <w:rPr>
                <w:rFonts w:ascii="Verdana" w:hAnsi="Verdana"/>
                <w:sz w:val="16"/>
                <w:szCs w:val="16"/>
                <w:lang w:val="en-US"/>
              </w:rPr>
              <w:t>, olefins, which may contain additives that are mainly used as fuel in spark-ignition internal combustion engines, among other industrial applications, and which meets the quality specification provided for in the respective Official Mexican Standard;</w:t>
            </w:r>
          </w:p>
        </w:tc>
      </w:tr>
      <w:tr w:rsidR="009849AC" w:rsidRPr="002314E3" w14:paraId="7AF604D5" w14:textId="1EEA17B8" w:rsidTr="00F867DE">
        <w:tc>
          <w:tcPr>
            <w:tcW w:w="4711" w:type="dxa"/>
          </w:tcPr>
          <w:p w14:paraId="16B00D2C"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XXIII.</w:t>
            </w:r>
            <w:r w:rsidRPr="00837D4A">
              <w:rPr>
                <w:rFonts w:ascii="Verdana" w:hAnsi="Verdana"/>
                <w:b/>
                <w:sz w:val="16"/>
                <w:szCs w:val="16"/>
              </w:rPr>
              <w:tab/>
            </w:r>
            <w:r w:rsidRPr="00837D4A">
              <w:rPr>
                <w:rFonts w:ascii="Verdana" w:hAnsi="Verdana"/>
                <w:sz w:val="16"/>
                <w:szCs w:val="16"/>
              </w:rPr>
              <w:t>Guarda: Proceso operativo que se desarrolla como parte de las actividades reguladas, distintas al Almacenamiento, que tiene como fin el resguardo de Hidrocarburos, Petrolíferos o Petroquímicos, sin que pueda ser prestado como un servicio y que no debe exceder la capacidad ni la temporalidad de conformidad con las mejores prácticas de la industria y a lo que establezcan la Secretaría, la Comisión o la Agencia en el ámbito de sus respectivas competencias;</w:t>
            </w:r>
          </w:p>
        </w:tc>
        <w:tc>
          <w:tcPr>
            <w:tcW w:w="4649" w:type="dxa"/>
          </w:tcPr>
          <w:p w14:paraId="159CAAFD" w14:textId="12FB676F"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XXIII. </w:t>
            </w:r>
            <w:r w:rsidRPr="00837D4A">
              <w:rPr>
                <w:rFonts w:ascii="Verdana" w:hAnsi="Verdana"/>
                <w:b/>
                <w:sz w:val="16"/>
                <w:szCs w:val="16"/>
                <w:lang w:val="en-US"/>
              </w:rPr>
              <w:tab/>
            </w:r>
            <w:r w:rsidRPr="00837D4A">
              <w:rPr>
                <w:rFonts w:ascii="Verdana" w:hAnsi="Verdana"/>
                <w:sz w:val="16"/>
                <w:szCs w:val="16"/>
                <w:lang w:val="en-US"/>
              </w:rPr>
              <w:t>Storage: Operational process that is developed as part of the regulated activities, other than storage, which has as its purpose the safeguarding of hydrocarbons, petroleum products or petrochemicals, without being able to be provided as a service and which must not exceed the capacity or temporality in accordance with the best practices of the industry and as established by the Secretary, the Commission or the Agency within the scope of their respective powers;</w:t>
            </w:r>
          </w:p>
        </w:tc>
      </w:tr>
      <w:tr w:rsidR="009849AC" w:rsidRPr="002314E3" w14:paraId="4BB33D0D" w14:textId="365867C7" w:rsidTr="00F867DE">
        <w:tc>
          <w:tcPr>
            <w:tcW w:w="4711" w:type="dxa"/>
          </w:tcPr>
          <w:p w14:paraId="4B2453E4"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XXIV.</w:t>
            </w:r>
            <w:r w:rsidRPr="00837D4A">
              <w:rPr>
                <w:rFonts w:ascii="Verdana" w:hAnsi="Verdana"/>
                <w:b/>
                <w:sz w:val="16"/>
                <w:szCs w:val="16"/>
              </w:rPr>
              <w:tab/>
            </w:r>
            <w:r w:rsidRPr="00837D4A">
              <w:rPr>
                <w:rFonts w:ascii="Verdana" w:hAnsi="Verdana"/>
                <w:sz w:val="16"/>
                <w:szCs w:val="16"/>
              </w:rPr>
              <w:t>Impacto Social: Conjunto de cambios y consecuencias, positivos y negativos, derivados del desarrollo de un proyecto que se pueden experimentar de forma perceptual o física por personas, comunidades o colectividades y que se clasifican en directos, indirectos, acumulativos, residuales y significativos, en términos de la Normatividad aplicable;</w:t>
            </w:r>
          </w:p>
        </w:tc>
        <w:tc>
          <w:tcPr>
            <w:tcW w:w="4649" w:type="dxa"/>
          </w:tcPr>
          <w:p w14:paraId="78921C26" w14:textId="64C69330"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XXIV. </w:t>
            </w:r>
            <w:r w:rsidRPr="00837D4A">
              <w:rPr>
                <w:rFonts w:ascii="Verdana" w:hAnsi="Verdana"/>
                <w:bCs/>
                <w:sz w:val="16"/>
                <w:szCs w:val="16"/>
                <w:lang w:val="en-US"/>
              </w:rPr>
              <w:t>Social</w:t>
            </w:r>
            <w:r w:rsidRPr="00837D4A">
              <w:rPr>
                <w:rFonts w:ascii="Verdana" w:hAnsi="Verdana"/>
                <w:sz w:val="16"/>
                <w:szCs w:val="16"/>
                <w:lang w:val="en-US"/>
              </w:rPr>
              <w:t xml:space="preserve"> Impact: Set of changes and consequences, positive and negative, derived from the development of a project that can be experienced perceptually or physically by people, communities or collectives and that are classified as direct, indirect, cumulative, residual and significant, in terms of the applicable legislation;</w:t>
            </w:r>
          </w:p>
        </w:tc>
      </w:tr>
      <w:tr w:rsidR="009849AC" w:rsidRPr="002314E3" w14:paraId="68240BC4" w14:textId="184EDC5C" w:rsidTr="00F867DE">
        <w:tc>
          <w:tcPr>
            <w:tcW w:w="4711" w:type="dxa"/>
          </w:tcPr>
          <w:p w14:paraId="3639F2CA"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XXV.</w:t>
            </w:r>
            <w:r w:rsidRPr="00837D4A">
              <w:rPr>
                <w:rFonts w:ascii="Verdana" w:hAnsi="Verdana"/>
                <w:b/>
                <w:sz w:val="16"/>
                <w:szCs w:val="16"/>
              </w:rPr>
              <w:tab/>
            </w:r>
            <w:r w:rsidRPr="00837D4A">
              <w:rPr>
                <w:rFonts w:ascii="Verdana" w:hAnsi="Verdana"/>
                <w:sz w:val="16"/>
                <w:szCs w:val="16"/>
              </w:rPr>
              <w:t>Impactos Sociales Significativos: Impactos Sociales que implican el reasentamiento involuntario, la venta o expropiación de tierras, la pérdida de recursos naturales esenciales, la afectación a pueblos y comunidades indígenas y afromexicanas, vulneraciones a los derechos humanos, daños al patrimonio cultural o cualquier otro impacto que pueda comprometer la subsistencia física o cultural de las personas o comunidades;</w:t>
            </w:r>
          </w:p>
        </w:tc>
        <w:tc>
          <w:tcPr>
            <w:tcW w:w="4649" w:type="dxa"/>
          </w:tcPr>
          <w:p w14:paraId="24688752" w14:textId="2379E4BE"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XXV. </w:t>
            </w:r>
            <w:r w:rsidRPr="00837D4A">
              <w:rPr>
                <w:rFonts w:ascii="Verdana" w:hAnsi="Verdana"/>
                <w:b/>
                <w:sz w:val="16"/>
                <w:szCs w:val="16"/>
                <w:lang w:val="en-US"/>
              </w:rPr>
              <w:tab/>
            </w:r>
            <w:r w:rsidRPr="00837D4A">
              <w:rPr>
                <w:rFonts w:ascii="Verdana" w:hAnsi="Verdana"/>
                <w:sz w:val="16"/>
                <w:szCs w:val="16"/>
                <w:lang w:val="en-US"/>
              </w:rPr>
              <w:t>Significant Social Impacts: Social impacts that involve involuntary resettlement, sale or expropriation of land, loss of essential natural resources, impact on indigenous and Afro-Mexican peoples and communities, violations of human rights, damage to cultural heritage or any other impact that may compromise the physical or cultural subsistence of people or communities;</w:t>
            </w:r>
          </w:p>
        </w:tc>
      </w:tr>
      <w:tr w:rsidR="009849AC" w:rsidRPr="002314E3" w14:paraId="58CFEFE9" w14:textId="591C1CB8" w:rsidTr="00F867DE">
        <w:tc>
          <w:tcPr>
            <w:tcW w:w="4711" w:type="dxa"/>
          </w:tcPr>
          <w:p w14:paraId="49E45CFB"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XXVI.</w:t>
            </w:r>
            <w:r w:rsidRPr="00837D4A">
              <w:rPr>
                <w:rFonts w:ascii="Verdana" w:hAnsi="Verdana"/>
                <w:b/>
                <w:sz w:val="16"/>
                <w:szCs w:val="16"/>
              </w:rPr>
              <w:tab/>
            </w:r>
            <w:r w:rsidRPr="00837D4A">
              <w:rPr>
                <w:rFonts w:ascii="Verdana" w:hAnsi="Verdana"/>
                <w:sz w:val="16"/>
                <w:szCs w:val="16"/>
              </w:rPr>
              <w:t>Industria de Hidrocarburos: Conjunto de actividades señaladas en el artículo 3 de la Ley;</w:t>
            </w:r>
          </w:p>
        </w:tc>
        <w:tc>
          <w:tcPr>
            <w:tcW w:w="4649" w:type="dxa"/>
          </w:tcPr>
          <w:p w14:paraId="2686A712" w14:textId="1649084B"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XXVI. </w:t>
            </w:r>
            <w:r w:rsidRPr="00837D4A">
              <w:rPr>
                <w:rFonts w:ascii="Verdana" w:hAnsi="Verdana"/>
                <w:b/>
                <w:sz w:val="16"/>
                <w:szCs w:val="16"/>
                <w:lang w:val="en-US"/>
              </w:rPr>
              <w:tab/>
            </w:r>
            <w:r w:rsidRPr="00837D4A">
              <w:rPr>
                <w:rFonts w:ascii="Verdana" w:hAnsi="Verdana"/>
                <w:sz w:val="16"/>
                <w:szCs w:val="16"/>
                <w:lang w:val="en-US"/>
              </w:rPr>
              <w:t>Hydrocarbon Industry: Set of activities indicated in article 3 of the Law;</w:t>
            </w:r>
          </w:p>
        </w:tc>
      </w:tr>
      <w:tr w:rsidR="009849AC" w:rsidRPr="002314E3" w14:paraId="22725FC8" w14:textId="16C42A6B" w:rsidTr="00F867DE">
        <w:tc>
          <w:tcPr>
            <w:tcW w:w="4711" w:type="dxa"/>
          </w:tcPr>
          <w:p w14:paraId="3C33989C"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XXVII.</w:t>
            </w:r>
            <w:r w:rsidRPr="00837D4A">
              <w:rPr>
                <w:rFonts w:ascii="Verdana" w:hAnsi="Verdana"/>
                <w:b/>
                <w:sz w:val="16"/>
                <w:szCs w:val="16"/>
              </w:rPr>
              <w:tab/>
            </w:r>
            <w:r w:rsidRPr="00837D4A">
              <w:rPr>
                <w:rFonts w:ascii="Verdana" w:hAnsi="Verdana"/>
                <w:sz w:val="16"/>
                <w:szCs w:val="16"/>
              </w:rPr>
              <w:t>Instalación de Aprovechamiento: Conjunto de dispositivos para la recepción, amortiguamiento y, en su caso, Guarda y manejo de Gas Natural, Petrolíferos o Petroquímicos, desde su punto de suministro hasta los aparatos de consumo de la persona Usuaria Final;</w:t>
            </w:r>
          </w:p>
        </w:tc>
        <w:tc>
          <w:tcPr>
            <w:tcW w:w="4649" w:type="dxa"/>
          </w:tcPr>
          <w:p w14:paraId="7E9C0C48" w14:textId="4B6C9FB3"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XXVII. </w:t>
            </w:r>
            <w:r w:rsidRPr="00837D4A">
              <w:rPr>
                <w:rFonts w:ascii="Verdana" w:hAnsi="Verdana"/>
                <w:b/>
                <w:sz w:val="16"/>
                <w:szCs w:val="16"/>
                <w:lang w:val="en-US"/>
              </w:rPr>
              <w:tab/>
            </w:r>
            <w:r w:rsidRPr="00837D4A">
              <w:rPr>
                <w:rFonts w:ascii="Verdana" w:hAnsi="Verdana"/>
                <w:sz w:val="16"/>
                <w:szCs w:val="16"/>
                <w:lang w:val="en-US"/>
              </w:rPr>
              <w:t>Utilization Installation: Set of devices for the reception, buffering and, where appropriate, storage and handling of natural gas, petroleum products or petrochemicals, from their supply point to the consumption devices of the end user;</w:t>
            </w:r>
          </w:p>
        </w:tc>
      </w:tr>
      <w:tr w:rsidR="009849AC" w:rsidRPr="002314E3" w14:paraId="2E34C411" w14:textId="439015F3" w:rsidTr="00F867DE">
        <w:tc>
          <w:tcPr>
            <w:tcW w:w="4711" w:type="dxa"/>
          </w:tcPr>
          <w:p w14:paraId="18D13D99"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lastRenderedPageBreak/>
              <w:t>XXVIII.</w:t>
            </w:r>
            <w:r w:rsidRPr="00837D4A">
              <w:rPr>
                <w:rFonts w:ascii="Verdana" w:hAnsi="Verdana"/>
                <w:b/>
                <w:sz w:val="16"/>
                <w:szCs w:val="16"/>
              </w:rPr>
              <w:tab/>
            </w:r>
            <w:r w:rsidRPr="00837D4A">
              <w:rPr>
                <w:rFonts w:ascii="Verdana" w:hAnsi="Verdana"/>
                <w:sz w:val="16"/>
                <w:szCs w:val="16"/>
              </w:rPr>
              <w:t>Ley: Ley del Sector Hidrocarburos;</w:t>
            </w:r>
          </w:p>
        </w:tc>
        <w:tc>
          <w:tcPr>
            <w:tcW w:w="4649" w:type="dxa"/>
          </w:tcPr>
          <w:p w14:paraId="09A6E56B" w14:textId="3795603C"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XXVIII. </w:t>
            </w:r>
            <w:r w:rsidRPr="00837D4A">
              <w:rPr>
                <w:rFonts w:ascii="Verdana" w:hAnsi="Verdana"/>
                <w:b/>
                <w:sz w:val="16"/>
                <w:szCs w:val="16"/>
                <w:lang w:val="en-US"/>
              </w:rPr>
              <w:tab/>
            </w:r>
            <w:r w:rsidRPr="00837D4A">
              <w:rPr>
                <w:rFonts w:ascii="Verdana" w:hAnsi="Verdana"/>
                <w:sz w:val="16"/>
                <w:szCs w:val="16"/>
                <w:lang w:val="en-US"/>
              </w:rPr>
              <w:t>Law: Law of the Hydrocarbons Sector;</w:t>
            </w:r>
          </w:p>
        </w:tc>
      </w:tr>
      <w:tr w:rsidR="009849AC" w:rsidRPr="002314E3" w14:paraId="2CA42E66" w14:textId="62BC010D" w:rsidTr="00F867DE">
        <w:tc>
          <w:tcPr>
            <w:tcW w:w="4711" w:type="dxa"/>
          </w:tcPr>
          <w:p w14:paraId="39527D78"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XXIX.</w:t>
            </w:r>
            <w:r w:rsidRPr="00837D4A">
              <w:rPr>
                <w:rFonts w:ascii="Verdana" w:hAnsi="Verdana"/>
                <w:b/>
                <w:sz w:val="16"/>
                <w:szCs w:val="16"/>
              </w:rPr>
              <w:tab/>
            </w:r>
            <w:r w:rsidRPr="00837D4A">
              <w:rPr>
                <w:rFonts w:ascii="Verdana" w:hAnsi="Verdana"/>
                <w:sz w:val="16"/>
                <w:szCs w:val="16"/>
              </w:rPr>
              <w:t>Licuefacción: Proceso físico para cambiar el Gas Natural de su fase gaseosa a líquida y mantenerlo en dicha fase;</w:t>
            </w:r>
          </w:p>
        </w:tc>
        <w:tc>
          <w:tcPr>
            <w:tcW w:w="4649" w:type="dxa"/>
          </w:tcPr>
          <w:p w14:paraId="61813EFD" w14:textId="0E7ED331"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XXIX. </w:t>
            </w:r>
            <w:r w:rsidRPr="00837D4A">
              <w:rPr>
                <w:rFonts w:ascii="Verdana" w:hAnsi="Verdana"/>
                <w:b/>
                <w:sz w:val="16"/>
                <w:szCs w:val="16"/>
                <w:lang w:val="en-US"/>
              </w:rPr>
              <w:tab/>
            </w:r>
            <w:r w:rsidRPr="00837D4A">
              <w:rPr>
                <w:rFonts w:ascii="Verdana" w:hAnsi="Verdana"/>
                <w:sz w:val="16"/>
                <w:szCs w:val="16"/>
                <w:lang w:val="en-US"/>
              </w:rPr>
              <w:t>Liquefaction: Physical process to change Natural Gas from its gaseous phase to liquid phase and maintain it in said phase;</w:t>
            </w:r>
          </w:p>
        </w:tc>
      </w:tr>
      <w:tr w:rsidR="009849AC" w:rsidRPr="002314E3" w14:paraId="35D6006D" w14:textId="365A6600" w:rsidTr="00F867DE">
        <w:tc>
          <w:tcPr>
            <w:tcW w:w="4711" w:type="dxa"/>
          </w:tcPr>
          <w:p w14:paraId="3194D5AC"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XXX.</w:t>
            </w:r>
            <w:r w:rsidRPr="00837D4A">
              <w:rPr>
                <w:rFonts w:ascii="Verdana" w:hAnsi="Verdana"/>
                <w:b/>
                <w:sz w:val="16"/>
                <w:szCs w:val="16"/>
              </w:rPr>
              <w:tab/>
            </w:r>
            <w:r w:rsidRPr="00837D4A">
              <w:rPr>
                <w:rFonts w:ascii="Verdana" w:hAnsi="Verdana"/>
                <w:sz w:val="16"/>
                <w:szCs w:val="16"/>
              </w:rPr>
              <w:t>Lineamientos Técnicos: Especificaciones que corresponde establecer a la Secretaría para regular cada proceso de licitación de Contratos para la Exploración y Extracción;</w:t>
            </w:r>
          </w:p>
        </w:tc>
        <w:tc>
          <w:tcPr>
            <w:tcW w:w="4649" w:type="dxa"/>
          </w:tcPr>
          <w:p w14:paraId="4507CBAA" w14:textId="0F92DA50"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XXX. </w:t>
            </w:r>
            <w:r w:rsidRPr="00837D4A">
              <w:rPr>
                <w:rFonts w:ascii="Verdana" w:hAnsi="Verdana"/>
                <w:b/>
                <w:sz w:val="16"/>
                <w:szCs w:val="16"/>
                <w:lang w:val="en-US"/>
              </w:rPr>
              <w:tab/>
            </w:r>
            <w:r w:rsidRPr="00837D4A">
              <w:rPr>
                <w:rFonts w:ascii="Verdana" w:hAnsi="Verdana"/>
                <w:sz w:val="16"/>
                <w:szCs w:val="16"/>
                <w:lang w:val="en-US"/>
              </w:rPr>
              <w:t>Technical Guidelines: Specifications that the Secretary must establish to regulate each bidding process for Exploration and Extraction Contracts;</w:t>
            </w:r>
          </w:p>
        </w:tc>
      </w:tr>
      <w:tr w:rsidR="009849AC" w:rsidRPr="002314E3" w14:paraId="0A75E75C" w14:textId="571D2567" w:rsidTr="00F867DE">
        <w:tc>
          <w:tcPr>
            <w:tcW w:w="4711" w:type="dxa"/>
          </w:tcPr>
          <w:p w14:paraId="6DDB2060"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XXXI.</w:t>
            </w:r>
            <w:r w:rsidRPr="00837D4A">
              <w:rPr>
                <w:rFonts w:ascii="Verdana" w:hAnsi="Verdana"/>
                <w:b/>
                <w:sz w:val="16"/>
                <w:szCs w:val="16"/>
              </w:rPr>
              <w:tab/>
            </w:r>
            <w:r w:rsidRPr="00837D4A">
              <w:rPr>
                <w:rFonts w:ascii="Verdana" w:hAnsi="Verdana"/>
                <w:sz w:val="16"/>
                <w:szCs w:val="16"/>
              </w:rPr>
              <w:t>Mediación: Procedimiento voluntario mediante el cual las personas Asignatarias, Contratistas o Permisionarias de Transporte por medio de Ductos, junto con la persona propietaria o titular del bien a afectar, acuerdan resolver una controversia de manera pacífica en términos de este reglamento, con la asistencia de una tercera persona imparcial, denominada mediadora o Testigo Social, según corresponda;</w:t>
            </w:r>
          </w:p>
        </w:tc>
        <w:tc>
          <w:tcPr>
            <w:tcW w:w="4649" w:type="dxa"/>
          </w:tcPr>
          <w:p w14:paraId="1430C8CC" w14:textId="5BDA99C6"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XXXI. </w:t>
            </w:r>
            <w:r w:rsidRPr="00837D4A">
              <w:rPr>
                <w:rFonts w:ascii="Verdana" w:hAnsi="Verdana"/>
                <w:b/>
                <w:sz w:val="16"/>
                <w:szCs w:val="16"/>
                <w:lang w:val="en-US"/>
              </w:rPr>
              <w:tab/>
            </w:r>
            <w:r w:rsidRPr="00837D4A">
              <w:rPr>
                <w:rFonts w:ascii="Verdana" w:hAnsi="Verdana"/>
                <w:sz w:val="16"/>
                <w:szCs w:val="16"/>
                <w:lang w:val="en-US"/>
              </w:rPr>
              <w:t>Mediation: Voluntary procedure through which the Assignees, Contractors or Permit Holders of Transportation by means of Pipelines, together with the owner or holder of the property to be affected, agree to resolve a controversy peacefully in terms of this regulation, with the assistance of an impartial third person, called a mediator or Social Witness, as appropriate;</w:t>
            </w:r>
          </w:p>
        </w:tc>
      </w:tr>
      <w:tr w:rsidR="009849AC" w:rsidRPr="002314E3" w14:paraId="7AEC8FE6" w14:textId="2E93EE90" w:rsidTr="00F867DE">
        <w:tc>
          <w:tcPr>
            <w:tcW w:w="4711" w:type="dxa"/>
          </w:tcPr>
          <w:p w14:paraId="683957DC"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XXXII.</w:t>
            </w:r>
            <w:r w:rsidRPr="00837D4A">
              <w:rPr>
                <w:rFonts w:ascii="Verdana" w:hAnsi="Verdana"/>
                <w:b/>
                <w:sz w:val="16"/>
                <w:szCs w:val="16"/>
              </w:rPr>
              <w:tab/>
            </w:r>
            <w:r w:rsidRPr="00837D4A">
              <w:rPr>
                <w:rFonts w:ascii="Verdana" w:hAnsi="Verdana"/>
                <w:sz w:val="16"/>
                <w:szCs w:val="16"/>
              </w:rPr>
              <w:t>Modelo de Contratación: Modalidad que elige la Secretaría y bajo la cual se licita o adjudica un Área Contractual asociada a un Contrato para la Exploración y Extracción, entre las que se encuentran la modalidad de servicios, de utilidad compartida, de producción compartida y de licencia o una combinación de estas;</w:t>
            </w:r>
          </w:p>
        </w:tc>
        <w:tc>
          <w:tcPr>
            <w:tcW w:w="4649" w:type="dxa"/>
          </w:tcPr>
          <w:p w14:paraId="7C33C37B" w14:textId="6761C659"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XXXII. </w:t>
            </w:r>
            <w:r w:rsidRPr="00837D4A">
              <w:rPr>
                <w:rFonts w:ascii="Verdana" w:hAnsi="Verdana"/>
                <w:b/>
                <w:sz w:val="16"/>
                <w:szCs w:val="16"/>
                <w:lang w:val="en-US"/>
              </w:rPr>
              <w:tab/>
            </w:r>
            <w:r w:rsidRPr="00837D4A">
              <w:rPr>
                <w:rFonts w:ascii="Verdana" w:hAnsi="Verdana"/>
                <w:sz w:val="16"/>
                <w:szCs w:val="16"/>
                <w:lang w:val="en-US"/>
              </w:rPr>
              <w:t>Contracting Model: Modality chosen by the Secretary and under which a Contractual Area associated with an Exploration and Extraction Contract is tendered or awarded, among which are the service modality, shared utility, shared production and license or a combination of these;</w:t>
            </w:r>
          </w:p>
        </w:tc>
      </w:tr>
      <w:tr w:rsidR="009849AC" w:rsidRPr="002314E3" w14:paraId="613EE7C6" w14:textId="68DF3639" w:rsidTr="00F867DE">
        <w:tc>
          <w:tcPr>
            <w:tcW w:w="4711" w:type="dxa"/>
          </w:tcPr>
          <w:p w14:paraId="605969DB"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XXXIII.</w:t>
            </w:r>
            <w:r w:rsidRPr="00837D4A">
              <w:rPr>
                <w:rFonts w:ascii="Verdana" w:hAnsi="Verdana"/>
                <w:b/>
                <w:sz w:val="16"/>
                <w:szCs w:val="16"/>
              </w:rPr>
              <w:tab/>
            </w:r>
            <w:r w:rsidRPr="00837D4A">
              <w:rPr>
                <w:rFonts w:ascii="Verdana" w:hAnsi="Verdana"/>
                <w:sz w:val="16"/>
                <w:szCs w:val="16"/>
              </w:rPr>
              <w:t>Normatividad: Todas las leyes, reglamentos, disposiciones administrativas de carácter general, decretos, acuerdos, normas, Normas Oficiales Mexicanas, órdenes administrativas, lineamientos, criterios, metodologías, guías, directivas, reglas, disposiciones y demás decisiones de cualquier tipo expedidas por autoridad competente;</w:t>
            </w:r>
          </w:p>
        </w:tc>
        <w:tc>
          <w:tcPr>
            <w:tcW w:w="4649" w:type="dxa"/>
          </w:tcPr>
          <w:p w14:paraId="56302251" w14:textId="4A5220FC"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XXXIII. </w:t>
            </w:r>
            <w:r w:rsidRPr="00837D4A">
              <w:rPr>
                <w:rFonts w:ascii="Verdana" w:hAnsi="Verdana"/>
                <w:b/>
                <w:sz w:val="16"/>
                <w:szCs w:val="16"/>
                <w:lang w:val="en-US"/>
              </w:rPr>
              <w:tab/>
            </w:r>
            <w:r w:rsidRPr="00837D4A">
              <w:rPr>
                <w:rFonts w:ascii="Verdana" w:hAnsi="Verdana"/>
                <w:sz w:val="16"/>
                <w:szCs w:val="16"/>
                <w:lang w:val="en-US"/>
              </w:rPr>
              <w:t>Regulations: All laws, Regulations, administrative provisions of a general nature, decrees, agreements, standards, Official Mexican Standards, administrative orders, guidelines, criteria, methodologies, guides, directives, rules, provisions and other decisions of any kind issued by the appropriate  authority;</w:t>
            </w:r>
          </w:p>
        </w:tc>
      </w:tr>
      <w:tr w:rsidR="009849AC" w:rsidRPr="00D0180E" w14:paraId="6FEC88D8" w14:textId="0FA14FB3" w:rsidTr="00F867DE">
        <w:tc>
          <w:tcPr>
            <w:tcW w:w="4711" w:type="dxa"/>
          </w:tcPr>
          <w:p w14:paraId="454E8260"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XXXIV.</w:t>
            </w:r>
            <w:r w:rsidRPr="00837D4A">
              <w:rPr>
                <w:rFonts w:ascii="Verdana" w:hAnsi="Verdana"/>
                <w:b/>
                <w:sz w:val="16"/>
                <w:szCs w:val="16"/>
              </w:rPr>
              <w:tab/>
            </w:r>
            <w:r w:rsidRPr="00837D4A">
              <w:rPr>
                <w:rFonts w:ascii="Verdana" w:hAnsi="Verdana"/>
                <w:sz w:val="16"/>
                <w:szCs w:val="16"/>
              </w:rPr>
              <w:t>Petróleos Mexicanos: Empresa pública del Estado, Petróleos Mexicanos;</w:t>
            </w:r>
          </w:p>
        </w:tc>
        <w:tc>
          <w:tcPr>
            <w:tcW w:w="4649" w:type="dxa"/>
          </w:tcPr>
          <w:p w14:paraId="3A7B4A70" w14:textId="480A011C" w:rsidR="009849AC" w:rsidRPr="00837D4A" w:rsidRDefault="009849AC" w:rsidP="009849AC">
            <w:pPr>
              <w:pStyle w:val="Texto"/>
              <w:spacing w:line="223" w:lineRule="exact"/>
              <w:ind w:firstLine="0"/>
              <w:rPr>
                <w:rFonts w:ascii="Verdana" w:hAnsi="Verdana"/>
                <w:b/>
                <w:sz w:val="16"/>
                <w:szCs w:val="16"/>
                <w:lang w:val="es-MX"/>
              </w:rPr>
            </w:pPr>
            <w:r w:rsidRPr="00837D4A">
              <w:rPr>
                <w:rFonts w:ascii="Verdana" w:hAnsi="Verdana"/>
                <w:b/>
                <w:sz w:val="16"/>
                <w:szCs w:val="16"/>
              </w:rPr>
              <w:t xml:space="preserve">XXXIV. </w:t>
            </w:r>
            <w:r w:rsidRPr="00837D4A">
              <w:rPr>
                <w:rFonts w:ascii="Verdana" w:hAnsi="Verdana"/>
                <w:b/>
                <w:sz w:val="16"/>
                <w:szCs w:val="16"/>
              </w:rPr>
              <w:tab/>
            </w:r>
            <w:r w:rsidRPr="00837D4A">
              <w:rPr>
                <w:rFonts w:ascii="Verdana" w:hAnsi="Verdana"/>
                <w:sz w:val="16"/>
                <w:szCs w:val="16"/>
              </w:rPr>
              <w:t xml:space="preserve">Petróleos Mexicanos: Pemex, </w:t>
            </w:r>
            <w:proofErr w:type="spellStart"/>
            <w:r w:rsidRPr="00837D4A">
              <w:rPr>
                <w:rFonts w:ascii="Verdana" w:hAnsi="Verdana"/>
                <w:sz w:val="16"/>
                <w:szCs w:val="16"/>
              </w:rPr>
              <w:t>State-owned</w:t>
            </w:r>
            <w:proofErr w:type="spellEnd"/>
            <w:r w:rsidRPr="00837D4A">
              <w:rPr>
                <w:rFonts w:ascii="Verdana" w:hAnsi="Verdana"/>
                <w:sz w:val="16"/>
                <w:szCs w:val="16"/>
              </w:rPr>
              <w:t xml:space="preserve"> </w:t>
            </w:r>
            <w:proofErr w:type="spellStart"/>
            <w:r w:rsidRPr="00837D4A">
              <w:rPr>
                <w:rFonts w:ascii="Verdana" w:hAnsi="Verdana"/>
                <w:sz w:val="16"/>
                <w:szCs w:val="16"/>
              </w:rPr>
              <w:t>company</w:t>
            </w:r>
            <w:proofErr w:type="spellEnd"/>
            <w:r w:rsidRPr="00837D4A">
              <w:rPr>
                <w:rFonts w:ascii="Verdana" w:hAnsi="Verdana"/>
                <w:sz w:val="16"/>
                <w:szCs w:val="16"/>
              </w:rPr>
              <w:t>, Petróleos Mexicanos;</w:t>
            </w:r>
          </w:p>
        </w:tc>
      </w:tr>
      <w:tr w:rsidR="009849AC" w:rsidRPr="002314E3" w14:paraId="2E3BF719" w14:textId="26E37E4F" w:rsidTr="00F867DE">
        <w:tc>
          <w:tcPr>
            <w:tcW w:w="4711" w:type="dxa"/>
          </w:tcPr>
          <w:p w14:paraId="604ABCDB"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XXXV.</w:t>
            </w:r>
            <w:r w:rsidRPr="00837D4A">
              <w:rPr>
                <w:rFonts w:ascii="Verdana" w:hAnsi="Verdana"/>
                <w:b/>
                <w:sz w:val="16"/>
                <w:szCs w:val="16"/>
              </w:rPr>
              <w:tab/>
            </w:r>
            <w:r w:rsidRPr="00837D4A">
              <w:rPr>
                <w:rFonts w:ascii="Verdana" w:hAnsi="Verdana"/>
                <w:sz w:val="16"/>
                <w:szCs w:val="16"/>
              </w:rPr>
              <w:t>Plan de Gestión Social: Documento que forma parte de la Manifestación de Impacto Social del Sector Energético, cuyo propósito es la gestión de Impactos Sociales, así como brindar Beneficios Sociales Compartidos, bajo principios de sostenibilidad, respeto a los derechos humanos y justicia energética;</w:t>
            </w:r>
          </w:p>
        </w:tc>
        <w:tc>
          <w:tcPr>
            <w:tcW w:w="4649" w:type="dxa"/>
          </w:tcPr>
          <w:p w14:paraId="00716B74" w14:textId="6C87E36A"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XXXV. </w:t>
            </w:r>
            <w:r w:rsidRPr="00837D4A">
              <w:rPr>
                <w:rFonts w:ascii="Verdana" w:hAnsi="Verdana"/>
                <w:b/>
                <w:sz w:val="16"/>
                <w:szCs w:val="16"/>
                <w:lang w:val="en-US"/>
              </w:rPr>
              <w:tab/>
            </w:r>
            <w:r w:rsidRPr="00837D4A">
              <w:rPr>
                <w:rFonts w:ascii="Verdana" w:hAnsi="Verdana"/>
                <w:sz w:val="16"/>
                <w:szCs w:val="16"/>
                <w:lang w:val="en-US"/>
              </w:rPr>
              <w:t>Social Management Plan: Document that forms part of the Social Impact Statement of the Energy Sector, the purpose of which is the management of social impacts, as well as providing shared social benefits, under principles of sustainability, respect for human rights and energy justice;</w:t>
            </w:r>
          </w:p>
        </w:tc>
      </w:tr>
      <w:tr w:rsidR="009849AC" w:rsidRPr="002314E3" w14:paraId="42907266" w14:textId="1A33F0F3" w:rsidTr="00F867DE">
        <w:tc>
          <w:tcPr>
            <w:tcW w:w="4711" w:type="dxa"/>
          </w:tcPr>
          <w:p w14:paraId="4D83563E" w14:textId="77777777" w:rsidR="009849AC" w:rsidRPr="00837D4A" w:rsidRDefault="009849AC" w:rsidP="009849AC">
            <w:pPr>
              <w:pStyle w:val="Texto"/>
              <w:spacing w:line="223" w:lineRule="exact"/>
              <w:ind w:firstLine="0"/>
              <w:rPr>
                <w:rFonts w:ascii="Verdana" w:hAnsi="Verdana"/>
                <w:sz w:val="16"/>
                <w:szCs w:val="16"/>
              </w:rPr>
            </w:pPr>
            <w:r w:rsidRPr="00837D4A">
              <w:rPr>
                <w:rFonts w:ascii="Verdana" w:hAnsi="Verdana"/>
                <w:b/>
                <w:sz w:val="16"/>
                <w:szCs w:val="16"/>
              </w:rPr>
              <w:t>XXXVI.</w:t>
            </w:r>
            <w:r w:rsidRPr="00837D4A">
              <w:rPr>
                <w:rFonts w:ascii="Verdana" w:hAnsi="Verdana"/>
                <w:b/>
                <w:sz w:val="16"/>
                <w:szCs w:val="16"/>
              </w:rPr>
              <w:tab/>
            </w:r>
            <w:r w:rsidRPr="00837D4A">
              <w:rPr>
                <w:rFonts w:ascii="Verdana" w:hAnsi="Verdana"/>
                <w:sz w:val="16"/>
                <w:szCs w:val="16"/>
              </w:rPr>
              <w:t>Recipiente No Desmontable: Envase utilizado para contener Hidrocarburos, Petrolíferos o Petroquímicos que, por sus accesorios, peso o dimensiones, requiere una instalación permanente, anclado al chasis de un vehículo automotor, estructura fija de Semirremolque o instalación fija;</w:t>
            </w:r>
          </w:p>
        </w:tc>
        <w:tc>
          <w:tcPr>
            <w:tcW w:w="4649" w:type="dxa"/>
          </w:tcPr>
          <w:p w14:paraId="55AF4968" w14:textId="04ED07DA" w:rsidR="009849AC" w:rsidRPr="00837D4A" w:rsidRDefault="009849AC" w:rsidP="009849AC">
            <w:pPr>
              <w:pStyle w:val="Texto"/>
              <w:spacing w:line="223" w:lineRule="exact"/>
              <w:ind w:firstLine="0"/>
              <w:rPr>
                <w:rFonts w:ascii="Verdana" w:hAnsi="Verdana"/>
                <w:b/>
                <w:sz w:val="16"/>
                <w:szCs w:val="16"/>
                <w:lang w:val="en-US"/>
              </w:rPr>
            </w:pPr>
            <w:r w:rsidRPr="00837D4A">
              <w:rPr>
                <w:rFonts w:ascii="Verdana" w:hAnsi="Verdana"/>
                <w:b/>
                <w:sz w:val="16"/>
                <w:szCs w:val="16"/>
                <w:lang w:val="en-US"/>
              </w:rPr>
              <w:t xml:space="preserve">XXXVI. </w:t>
            </w:r>
            <w:r w:rsidRPr="00837D4A">
              <w:rPr>
                <w:rFonts w:ascii="Verdana" w:hAnsi="Verdana"/>
                <w:b/>
                <w:sz w:val="16"/>
                <w:szCs w:val="16"/>
                <w:lang w:val="en-US"/>
              </w:rPr>
              <w:tab/>
            </w:r>
            <w:r w:rsidRPr="00837D4A">
              <w:rPr>
                <w:rFonts w:ascii="Verdana" w:hAnsi="Verdana"/>
                <w:sz w:val="16"/>
                <w:szCs w:val="16"/>
                <w:lang w:val="en-US"/>
              </w:rPr>
              <w:t>Non-Removable Container: Container used to contain Hydrocarbons, Petroleum Products or Petrochemicals that, due to its accessories, weight or dimensions, requires a permanent installation, anchored to the chassis of a motor vehicle, fixed structure of a Semi-Trailer or fixed installation;</w:t>
            </w:r>
          </w:p>
        </w:tc>
      </w:tr>
      <w:tr w:rsidR="009849AC" w:rsidRPr="002314E3" w14:paraId="150FF580" w14:textId="40A009CA" w:rsidTr="00F867DE">
        <w:tc>
          <w:tcPr>
            <w:tcW w:w="4711" w:type="dxa"/>
          </w:tcPr>
          <w:p w14:paraId="3A817FC8"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XXXVII.</w:t>
            </w:r>
            <w:r w:rsidRPr="00837D4A">
              <w:rPr>
                <w:rFonts w:ascii="Verdana" w:hAnsi="Verdana"/>
                <w:b/>
                <w:sz w:val="16"/>
                <w:szCs w:val="16"/>
              </w:rPr>
              <w:tab/>
            </w:r>
            <w:r w:rsidRPr="00837D4A">
              <w:rPr>
                <w:rFonts w:ascii="Verdana" w:hAnsi="Verdana"/>
                <w:sz w:val="16"/>
                <w:szCs w:val="16"/>
              </w:rPr>
              <w:t>Recipiente Portátil: Envase utilizado para la Distribución o Expendio al Público de Gas Licuado de Petróleo, cuyas características de seguridad, peso y dimensiones, permiten que pueda ser manejado manualmente por personas Usuarias Finales en términos de las Normas Oficiales Mexicanas;</w:t>
            </w:r>
          </w:p>
        </w:tc>
        <w:tc>
          <w:tcPr>
            <w:tcW w:w="4649" w:type="dxa"/>
          </w:tcPr>
          <w:p w14:paraId="56A454DC" w14:textId="22ABE7A3"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XXXVII. </w:t>
            </w:r>
            <w:r w:rsidRPr="00837D4A">
              <w:rPr>
                <w:rFonts w:ascii="Verdana" w:hAnsi="Verdana"/>
                <w:b/>
                <w:sz w:val="16"/>
                <w:szCs w:val="16"/>
                <w:lang w:val="en-US"/>
              </w:rPr>
              <w:tab/>
            </w:r>
            <w:r w:rsidRPr="00837D4A">
              <w:rPr>
                <w:rFonts w:ascii="Verdana" w:hAnsi="Verdana"/>
                <w:sz w:val="16"/>
                <w:szCs w:val="16"/>
                <w:lang w:val="en-US"/>
              </w:rPr>
              <w:t>Portable Container: Container used for the distribution or sale to the public of liquefied petroleum gas, whose safety characteristics, weight and dimensions allow it to be handled manually by end users in terms of the Official Mexican Standards;</w:t>
            </w:r>
          </w:p>
        </w:tc>
      </w:tr>
      <w:tr w:rsidR="009849AC" w:rsidRPr="002314E3" w14:paraId="4C5C1097" w14:textId="79586AE3" w:rsidTr="00F867DE">
        <w:tc>
          <w:tcPr>
            <w:tcW w:w="4711" w:type="dxa"/>
          </w:tcPr>
          <w:p w14:paraId="2049DAD0"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lastRenderedPageBreak/>
              <w:t>XXXVIII.</w:t>
            </w:r>
            <w:r w:rsidRPr="00837D4A">
              <w:rPr>
                <w:rFonts w:ascii="Verdana" w:hAnsi="Verdana"/>
                <w:b/>
                <w:sz w:val="16"/>
                <w:szCs w:val="16"/>
              </w:rPr>
              <w:tab/>
            </w:r>
            <w:r w:rsidRPr="00837D4A">
              <w:rPr>
                <w:rFonts w:ascii="Verdana" w:hAnsi="Verdana"/>
                <w:sz w:val="16"/>
                <w:szCs w:val="16"/>
              </w:rPr>
              <w:t>Recipiente Transportable no sujeto a presión: Envase utilizado para contener Petrolíferos diferentes al Gas Licuado de Petróleo que, por sus características de seguridad, peso y dimensiones, puede ser manejado manualmente por la persona Usuaria, en términos de las Normas Oficiales Mexicanas y demás Normatividad aplicable;</w:t>
            </w:r>
          </w:p>
        </w:tc>
        <w:tc>
          <w:tcPr>
            <w:tcW w:w="4649" w:type="dxa"/>
          </w:tcPr>
          <w:p w14:paraId="5009870B" w14:textId="07378F5C"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XXXVIII. </w:t>
            </w:r>
            <w:r w:rsidRPr="00837D4A">
              <w:rPr>
                <w:rFonts w:ascii="Verdana" w:hAnsi="Verdana"/>
                <w:b/>
                <w:sz w:val="16"/>
                <w:szCs w:val="16"/>
                <w:lang w:val="en-US"/>
              </w:rPr>
              <w:tab/>
            </w:r>
            <w:r w:rsidRPr="00837D4A">
              <w:rPr>
                <w:rFonts w:ascii="Verdana" w:hAnsi="Verdana"/>
                <w:sz w:val="16"/>
                <w:szCs w:val="16"/>
                <w:lang w:val="en-US"/>
              </w:rPr>
              <w:t>Non-pressurized Transportable Container: Container used to contain petroleum products other than liquefied petroleum gas which, due to its safety characteristics, weight and dimensions, can be handled manually by the user, in accordance with the Official Mexican Standards and other applicable legislation;</w:t>
            </w:r>
          </w:p>
        </w:tc>
      </w:tr>
      <w:tr w:rsidR="009849AC" w:rsidRPr="002314E3" w14:paraId="1581D462" w14:textId="188E7F26" w:rsidTr="00F867DE">
        <w:tc>
          <w:tcPr>
            <w:tcW w:w="4711" w:type="dxa"/>
          </w:tcPr>
          <w:p w14:paraId="02F53F16"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XXXIX.</w:t>
            </w:r>
            <w:r w:rsidRPr="00837D4A">
              <w:rPr>
                <w:rFonts w:ascii="Verdana" w:hAnsi="Verdana"/>
                <w:b/>
                <w:sz w:val="16"/>
                <w:szCs w:val="16"/>
              </w:rPr>
              <w:tab/>
            </w:r>
            <w:r w:rsidRPr="00837D4A">
              <w:rPr>
                <w:rFonts w:ascii="Verdana" w:hAnsi="Verdana"/>
                <w:sz w:val="16"/>
                <w:szCs w:val="16"/>
              </w:rPr>
              <w:t>Recipiente Transportable sujeto a presión: Envase utilizado para contener Gas Natural licuado o comprimido, así como Gas Licuado de Petróleo, otros Petrolíferos y Petroquímicos que, por sus características de seguridad, peso y dimensiones, debe ser manejado manualmente por personal capacitado de la persona Permisionaria, en términos de las Normas Oficiales Mexicanas;</w:t>
            </w:r>
          </w:p>
        </w:tc>
        <w:tc>
          <w:tcPr>
            <w:tcW w:w="4649" w:type="dxa"/>
          </w:tcPr>
          <w:p w14:paraId="2DB09997" w14:textId="762B6ADB"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XXXIX. </w:t>
            </w:r>
            <w:r w:rsidRPr="00837D4A">
              <w:rPr>
                <w:rFonts w:ascii="Verdana" w:hAnsi="Verdana"/>
                <w:b/>
                <w:sz w:val="16"/>
                <w:szCs w:val="16"/>
                <w:lang w:val="en-US"/>
              </w:rPr>
              <w:tab/>
            </w:r>
            <w:r w:rsidRPr="00837D4A">
              <w:rPr>
                <w:rFonts w:ascii="Verdana" w:hAnsi="Verdana"/>
                <w:sz w:val="16"/>
                <w:szCs w:val="16"/>
                <w:lang w:val="en-US"/>
              </w:rPr>
              <w:t>Transportable container subject to pressure: Container used to contain liquefied or compressed natural gas, as well as liquefied petroleum gas, other petroleum products and petrochemicals that, due to their safety characteristics, weight and dimensions, must be handled manually by trained personnel of the Permit Holder, in terms of the Official Mexican Standards;</w:t>
            </w:r>
          </w:p>
        </w:tc>
      </w:tr>
      <w:tr w:rsidR="009849AC" w:rsidRPr="002314E3" w14:paraId="70D448A6" w14:textId="6B0105F4" w:rsidTr="00F867DE">
        <w:tc>
          <w:tcPr>
            <w:tcW w:w="4711" w:type="dxa"/>
          </w:tcPr>
          <w:p w14:paraId="30BD7F95"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w:t>
            </w:r>
            <w:r w:rsidRPr="00837D4A">
              <w:rPr>
                <w:rFonts w:ascii="Verdana" w:hAnsi="Verdana"/>
                <w:b/>
                <w:sz w:val="16"/>
                <w:szCs w:val="16"/>
              </w:rPr>
              <w:tab/>
            </w:r>
            <w:r w:rsidRPr="00837D4A">
              <w:rPr>
                <w:rFonts w:ascii="Verdana" w:hAnsi="Verdana"/>
                <w:sz w:val="16"/>
                <w:szCs w:val="16"/>
              </w:rPr>
              <w:t>Refinación de Petróleo: Conjunto de procesos físicos y químicos para la transformación del Petróleo crudo en Petrolíferos y Petroquímicos, entre otros productos;</w:t>
            </w:r>
          </w:p>
        </w:tc>
        <w:tc>
          <w:tcPr>
            <w:tcW w:w="4649" w:type="dxa"/>
          </w:tcPr>
          <w:p w14:paraId="214E4227" w14:textId="41BF5E22"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 </w:t>
            </w:r>
            <w:r w:rsidRPr="00837D4A">
              <w:rPr>
                <w:rFonts w:ascii="Verdana" w:hAnsi="Verdana"/>
                <w:b/>
                <w:sz w:val="16"/>
                <w:szCs w:val="16"/>
                <w:lang w:val="en-US"/>
              </w:rPr>
              <w:tab/>
            </w:r>
            <w:r w:rsidRPr="00837D4A">
              <w:rPr>
                <w:rFonts w:ascii="Verdana" w:hAnsi="Verdana"/>
                <w:sz w:val="16"/>
                <w:szCs w:val="16"/>
                <w:lang w:val="en-US"/>
              </w:rPr>
              <w:t>Petroleum Refining: Set of physical and chemical processes for the transformation of crude oil into petroleum products and petrochemicals, among other products;</w:t>
            </w:r>
          </w:p>
        </w:tc>
      </w:tr>
      <w:tr w:rsidR="009849AC" w:rsidRPr="002314E3" w14:paraId="1CCF4DCE" w14:textId="524C83D8" w:rsidTr="00F867DE">
        <w:tc>
          <w:tcPr>
            <w:tcW w:w="4711" w:type="dxa"/>
          </w:tcPr>
          <w:p w14:paraId="1AF3FA20"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XLI.</w:t>
            </w:r>
            <w:r w:rsidRPr="00837D4A">
              <w:rPr>
                <w:rFonts w:ascii="Verdana" w:hAnsi="Verdana"/>
                <w:b/>
                <w:sz w:val="16"/>
                <w:szCs w:val="16"/>
              </w:rPr>
              <w:tab/>
            </w:r>
            <w:r w:rsidRPr="00837D4A">
              <w:rPr>
                <w:rFonts w:ascii="Verdana" w:hAnsi="Verdana"/>
                <w:sz w:val="16"/>
                <w:szCs w:val="16"/>
              </w:rPr>
              <w:t>Regasificación: Proceso mediante el cual el Gas Natural licuado es transformado a su estado gaseoso;</w:t>
            </w:r>
          </w:p>
        </w:tc>
        <w:tc>
          <w:tcPr>
            <w:tcW w:w="4649" w:type="dxa"/>
          </w:tcPr>
          <w:p w14:paraId="5C6ADFB7" w14:textId="658B26BA"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XLI. </w:t>
            </w:r>
            <w:r w:rsidRPr="00837D4A">
              <w:rPr>
                <w:rFonts w:ascii="Verdana" w:hAnsi="Verdana"/>
                <w:b/>
                <w:sz w:val="16"/>
                <w:szCs w:val="16"/>
                <w:lang w:val="en-US"/>
              </w:rPr>
              <w:tab/>
            </w:r>
            <w:r w:rsidRPr="00837D4A">
              <w:rPr>
                <w:rFonts w:ascii="Verdana" w:hAnsi="Verdana"/>
                <w:sz w:val="16"/>
                <w:szCs w:val="16"/>
                <w:lang w:val="en-US"/>
              </w:rPr>
              <w:t>Regasification: Process by which liquefied natural gas is transformed into its gaseous state;</w:t>
            </w:r>
          </w:p>
        </w:tc>
      </w:tr>
      <w:tr w:rsidR="009849AC" w:rsidRPr="002314E3" w14:paraId="13C7391A" w14:textId="0B155F0D" w:rsidTr="00F867DE">
        <w:tc>
          <w:tcPr>
            <w:tcW w:w="4711" w:type="dxa"/>
          </w:tcPr>
          <w:p w14:paraId="57E8A9CE"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XLII.</w:t>
            </w:r>
            <w:r w:rsidRPr="00837D4A">
              <w:rPr>
                <w:rFonts w:ascii="Verdana" w:hAnsi="Verdana"/>
                <w:b/>
                <w:sz w:val="16"/>
                <w:szCs w:val="16"/>
              </w:rPr>
              <w:tab/>
            </w:r>
            <w:r w:rsidRPr="00837D4A">
              <w:rPr>
                <w:rFonts w:ascii="Verdana" w:hAnsi="Verdana"/>
                <w:sz w:val="16"/>
                <w:szCs w:val="16"/>
              </w:rPr>
              <w:t>Ruta: Recorrido que sigue un equipo de Transporte o Distribución por medios distintos a Ductos desde uno o más puntos de origen a uno o más puntos de destino específicos;</w:t>
            </w:r>
          </w:p>
        </w:tc>
        <w:tc>
          <w:tcPr>
            <w:tcW w:w="4649" w:type="dxa"/>
          </w:tcPr>
          <w:p w14:paraId="4DEC3AF5" w14:textId="26598863"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XLII. </w:t>
            </w:r>
            <w:r w:rsidRPr="00837D4A">
              <w:rPr>
                <w:rFonts w:ascii="Verdana" w:hAnsi="Verdana"/>
                <w:b/>
                <w:sz w:val="16"/>
                <w:szCs w:val="16"/>
                <w:lang w:val="en-US"/>
              </w:rPr>
              <w:tab/>
            </w:r>
            <w:r w:rsidRPr="00837D4A">
              <w:rPr>
                <w:rFonts w:ascii="Verdana" w:hAnsi="Verdana"/>
                <w:sz w:val="16"/>
                <w:szCs w:val="16"/>
                <w:lang w:val="en-US"/>
              </w:rPr>
              <w:t>Route: Route followed by a Transportation or Distribution team by means other than Pipelines from one or more points of origin to one or more specific destination points;</w:t>
            </w:r>
          </w:p>
        </w:tc>
      </w:tr>
      <w:tr w:rsidR="009849AC" w:rsidRPr="002314E3" w14:paraId="0BD1F6B1" w14:textId="7A9E9C8C" w:rsidTr="00F867DE">
        <w:tc>
          <w:tcPr>
            <w:tcW w:w="4711" w:type="dxa"/>
          </w:tcPr>
          <w:p w14:paraId="5CE6582F"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XLIII.</w:t>
            </w:r>
            <w:r w:rsidRPr="00837D4A">
              <w:rPr>
                <w:rFonts w:ascii="Verdana" w:hAnsi="Verdana"/>
                <w:b/>
                <w:sz w:val="16"/>
                <w:szCs w:val="16"/>
              </w:rPr>
              <w:tab/>
            </w:r>
            <w:r w:rsidRPr="00837D4A">
              <w:rPr>
                <w:rFonts w:ascii="Verdana" w:hAnsi="Verdana"/>
                <w:sz w:val="16"/>
                <w:szCs w:val="16"/>
              </w:rPr>
              <w:t>Secretaría: Secretaría de Energía;</w:t>
            </w:r>
          </w:p>
        </w:tc>
        <w:tc>
          <w:tcPr>
            <w:tcW w:w="4649" w:type="dxa"/>
          </w:tcPr>
          <w:p w14:paraId="31E89501" w14:textId="4660ACFD"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XLIII. </w:t>
            </w:r>
            <w:r w:rsidRPr="00837D4A">
              <w:rPr>
                <w:rFonts w:ascii="Verdana" w:hAnsi="Verdana"/>
                <w:b/>
                <w:sz w:val="16"/>
                <w:szCs w:val="16"/>
                <w:lang w:val="en-US"/>
              </w:rPr>
              <w:tab/>
            </w:r>
            <w:r w:rsidRPr="00837D4A">
              <w:rPr>
                <w:rFonts w:ascii="Verdana" w:hAnsi="Verdana"/>
                <w:sz w:val="16"/>
                <w:szCs w:val="16"/>
                <w:lang w:val="en-US"/>
              </w:rPr>
              <w:t>Secretary: Secretary of Energy;</w:t>
            </w:r>
          </w:p>
        </w:tc>
      </w:tr>
      <w:tr w:rsidR="009849AC" w:rsidRPr="002314E3" w14:paraId="20E80CFE" w14:textId="42A921CD" w:rsidTr="00F867DE">
        <w:tc>
          <w:tcPr>
            <w:tcW w:w="4711" w:type="dxa"/>
          </w:tcPr>
          <w:p w14:paraId="10F1A232"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XLIV.</w:t>
            </w:r>
            <w:r w:rsidRPr="00837D4A">
              <w:rPr>
                <w:rFonts w:ascii="Verdana" w:hAnsi="Verdana"/>
                <w:b/>
                <w:sz w:val="16"/>
                <w:szCs w:val="16"/>
              </w:rPr>
              <w:tab/>
            </w:r>
            <w:r w:rsidRPr="00837D4A">
              <w:rPr>
                <w:rFonts w:ascii="Verdana" w:hAnsi="Verdana"/>
                <w:sz w:val="16"/>
                <w:szCs w:val="16"/>
              </w:rPr>
              <w:t>Semirremolque: Estructura móvil no autopropulsada que mantiene en forma fija y permanente un Recipiente No Desmontable para contener Hidrocarburos, Petrolíferos o Petroquímicos, que permite el Transporte y la realización de maniobras de carga y descarga de estos y que es enganchado y remolcado por un Tractocamión;</w:t>
            </w:r>
          </w:p>
        </w:tc>
        <w:tc>
          <w:tcPr>
            <w:tcW w:w="4649" w:type="dxa"/>
          </w:tcPr>
          <w:p w14:paraId="6D829887" w14:textId="3902C3E5"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XLIV. </w:t>
            </w:r>
            <w:r w:rsidRPr="00837D4A">
              <w:rPr>
                <w:rFonts w:ascii="Verdana" w:hAnsi="Verdana"/>
                <w:b/>
                <w:sz w:val="16"/>
                <w:szCs w:val="16"/>
                <w:lang w:val="en-US"/>
              </w:rPr>
              <w:tab/>
            </w:r>
            <w:r w:rsidRPr="00837D4A">
              <w:rPr>
                <w:rFonts w:ascii="Verdana" w:hAnsi="Verdana"/>
                <w:sz w:val="16"/>
                <w:szCs w:val="16"/>
                <w:lang w:val="en-US"/>
              </w:rPr>
              <w:t>Semi-trailer: Non-self-propelled mobile structure that maintains a non-detachable container in a fixed and permanent manner to contain hydrocarbons, petroleum products or petrochemicals, which allows the transportation and loading and unloading maneuvers of these and which is hooked and towed by a tractor-trailer;</w:t>
            </w:r>
          </w:p>
        </w:tc>
      </w:tr>
      <w:tr w:rsidR="009849AC" w:rsidRPr="002314E3" w14:paraId="20ED36AC" w14:textId="462251D4" w:rsidTr="00F867DE">
        <w:tc>
          <w:tcPr>
            <w:tcW w:w="4711" w:type="dxa"/>
          </w:tcPr>
          <w:p w14:paraId="014721ED"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XLV.</w:t>
            </w:r>
            <w:r w:rsidRPr="00837D4A">
              <w:rPr>
                <w:rFonts w:ascii="Verdana" w:hAnsi="Verdana"/>
                <w:b/>
                <w:sz w:val="16"/>
                <w:szCs w:val="16"/>
              </w:rPr>
              <w:tab/>
            </w:r>
            <w:r w:rsidRPr="00837D4A">
              <w:rPr>
                <w:rFonts w:ascii="Verdana" w:hAnsi="Verdana"/>
                <w:sz w:val="16"/>
                <w:szCs w:val="16"/>
              </w:rPr>
              <w:t>Sistema: Infraestructura, vehículos, equipos, instalaciones y demás bienes y recursos especificados en un permiso otorgado para realizar una actividad regulada en términos de la Ley, del presente reglamento y de la Normatividad aplicable;</w:t>
            </w:r>
          </w:p>
        </w:tc>
        <w:tc>
          <w:tcPr>
            <w:tcW w:w="4649" w:type="dxa"/>
          </w:tcPr>
          <w:p w14:paraId="2DAA0350" w14:textId="2D552A4F"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XLV. </w:t>
            </w:r>
            <w:r w:rsidRPr="00837D4A">
              <w:rPr>
                <w:rFonts w:ascii="Verdana" w:hAnsi="Verdana"/>
                <w:b/>
                <w:sz w:val="16"/>
                <w:szCs w:val="16"/>
                <w:lang w:val="en-US"/>
              </w:rPr>
              <w:tab/>
            </w:r>
            <w:r w:rsidRPr="00837D4A">
              <w:rPr>
                <w:rFonts w:ascii="Verdana" w:hAnsi="Verdana"/>
                <w:sz w:val="16"/>
                <w:szCs w:val="16"/>
                <w:lang w:val="en-US"/>
              </w:rPr>
              <w:t>System: Infrastructure, vehicles, equipment, facilities and other assets and resources specified in a permit granted to carry out a regulated activity in accordance with the Law, this Regulation and applicable legislation;</w:t>
            </w:r>
          </w:p>
        </w:tc>
      </w:tr>
      <w:tr w:rsidR="009849AC" w:rsidRPr="002314E3" w14:paraId="7843FBBB" w14:textId="6E4DF0F9" w:rsidTr="00F867DE">
        <w:tc>
          <w:tcPr>
            <w:tcW w:w="4711" w:type="dxa"/>
          </w:tcPr>
          <w:p w14:paraId="47573974"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XLVI.</w:t>
            </w:r>
            <w:r w:rsidRPr="00837D4A">
              <w:rPr>
                <w:rFonts w:ascii="Verdana" w:hAnsi="Verdana"/>
                <w:b/>
                <w:sz w:val="16"/>
                <w:szCs w:val="16"/>
              </w:rPr>
              <w:tab/>
            </w:r>
            <w:r w:rsidRPr="00837D4A">
              <w:rPr>
                <w:rFonts w:ascii="Verdana" w:hAnsi="Verdana"/>
                <w:sz w:val="16"/>
                <w:szCs w:val="16"/>
              </w:rPr>
              <w:t>Términos Técnicos y Operativos: Contenido de los anexos de los títulos de Asignación que otorga la Secretaría;</w:t>
            </w:r>
          </w:p>
        </w:tc>
        <w:tc>
          <w:tcPr>
            <w:tcW w:w="4649" w:type="dxa"/>
          </w:tcPr>
          <w:p w14:paraId="3F22634A" w14:textId="7958A6F7"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XLVI. </w:t>
            </w:r>
            <w:r w:rsidRPr="00837D4A">
              <w:rPr>
                <w:rFonts w:ascii="Verdana" w:hAnsi="Verdana"/>
                <w:b/>
                <w:sz w:val="16"/>
                <w:szCs w:val="16"/>
                <w:lang w:val="en-US"/>
              </w:rPr>
              <w:tab/>
            </w:r>
            <w:r w:rsidRPr="00837D4A">
              <w:rPr>
                <w:rFonts w:ascii="Verdana" w:hAnsi="Verdana"/>
                <w:sz w:val="16"/>
                <w:szCs w:val="16"/>
                <w:lang w:val="en-US"/>
              </w:rPr>
              <w:t>Technical and Operational Terms: Contents of the annexes of the Assignment titles granted by the Secretary;</w:t>
            </w:r>
          </w:p>
        </w:tc>
      </w:tr>
      <w:tr w:rsidR="009849AC" w:rsidRPr="002314E3" w14:paraId="6ED4DC31" w14:textId="2547D7D7" w:rsidTr="00F867DE">
        <w:tc>
          <w:tcPr>
            <w:tcW w:w="4711" w:type="dxa"/>
          </w:tcPr>
          <w:p w14:paraId="631D1C55"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XLVII.</w:t>
            </w:r>
            <w:r w:rsidRPr="00837D4A">
              <w:rPr>
                <w:rFonts w:ascii="Verdana" w:hAnsi="Verdana"/>
                <w:b/>
                <w:sz w:val="16"/>
                <w:szCs w:val="16"/>
              </w:rPr>
              <w:tab/>
            </w:r>
            <w:r w:rsidRPr="00837D4A">
              <w:rPr>
                <w:rFonts w:ascii="Verdana" w:hAnsi="Verdana"/>
                <w:sz w:val="16"/>
                <w:szCs w:val="16"/>
              </w:rPr>
              <w:t>Términos y Condiciones Técnicos: Contenido y cláusulas de los Contratos para la Exploración y Extracción que establece la Secretaría;</w:t>
            </w:r>
          </w:p>
        </w:tc>
        <w:tc>
          <w:tcPr>
            <w:tcW w:w="4649" w:type="dxa"/>
          </w:tcPr>
          <w:p w14:paraId="5030114C" w14:textId="788F16AE"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XLVII. </w:t>
            </w:r>
            <w:r w:rsidRPr="00837D4A">
              <w:rPr>
                <w:rFonts w:ascii="Verdana" w:hAnsi="Verdana"/>
                <w:b/>
                <w:sz w:val="16"/>
                <w:szCs w:val="16"/>
                <w:lang w:val="en-US"/>
              </w:rPr>
              <w:tab/>
            </w:r>
            <w:r w:rsidRPr="00837D4A">
              <w:rPr>
                <w:rFonts w:ascii="Verdana" w:hAnsi="Verdana"/>
                <w:sz w:val="16"/>
                <w:szCs w:val="16"/>
                <w:lang w:val="en-US"/>
              </w:rPr>
              <w:t>Technical Terms and Conditions: Content and clauses of the Exploration and Extraction Contracts established by the Secretary;</w:t>
            </w:r>
          </w:p>
        </w:tc>
      </w:tr>
      <w:tr w:rsidR="009849AC" w:rsidRPr="002314E3" w14:paraId="436FEA51" w14:textId="5F14614E" w:rsidTr="00F867DE">
        <w:tc>
          <w:tcPr>
            <w:tcW w:w="4711" w:type="dxa"/>
          </w:tcPr>
          <w:p w14:paraId="7710328B"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XLVIII.</w:t>
            </w:r>
            <w:r w:rsidRPr="00837D4A">
              <w:rPr>
                <w:rFonts w:ascii="Verdana" w:hAnsi="Verdana"/>
                <w:b/>
                <w:sz w:val="16"/>
                <w:szCs w:val="16"/>
              </w:rPr>
              <w:tab/>
            </w:r>
            <w:r w:rsidRPr="00837D4A">
              <w:rPr>
                <w:rFonts w:ascii="Verdana" w:hAnsi="Verdana"/>
                <w:sz w:val="16"/>
                <w:szCs w:val="16"/>
              </w:rPr>
              <w:t>Tractocamión: Vehículo automotor destinado a soportar y arrastrar Semirremolques y remolques;</w:t>
            </w:r>
          </w:p>
        </w:tc>
        <w:tc>
          <w:tcPr>
            <w:tcW w:w="4649" w:type="dxa"/>
          </w:tcPr>
          <w:p w14:paraId="2BE5DF3A" w14:textId="6E315381"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XLVIII. </w:t>
            </w:r>
            <w:r w:rsidRPr="00837D4A">
              <w:rPr>
                <w:rFonts w:ascii="Verdana" w:hAnsi="Verdana"/>
                <w:b/>
                <w:sz w:val="16"/>
                <w:szCs w:val="16"/>
                <w:lang w:val="en-US"/>
              </w:rPr>
              <w:tab/>
            </w:r>
            <w:r w:rsidRPr="00837D4A">
              <w:rPr>
                <w:rFonts w:ascii="Verdana" w:hAnsi="Verdana"/>
                <w:sz w:val="16"/>
                <w:szCs w:val="16"/>
                <w:lang w:val="en-US"/>
              </w:rPr>
              <w:t>Tractor-trailer: Motor vehicle designed to support and pull semi-trailers and trailers;</w:t>
            </w:r>
          </w:p>
        </w:tc>
      </w:tr>
      <w:tr w:rsidR="009849AC" w:rsidRPr="002314E3" w14:paraId="538D0C07" w14:textId="2CB19182" w:rsidTr="00F867DE">
        <w:tc>
          <w:tcPr>
            <w:tcW w:w="4711" w:type="dxa"/>
          </w:tcPr>
          <w:p w14:paraId="377D0DF4"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XLIX.</w:t>
            </w:r>
            <w:r w:rsidRPr="00837D4A">
              <w:rPr>
                <w:rFonts w:ascii="Verdana" w:hAnsi="Verdana"/>
                <w:b/>
                <w:sz w:val="16"/>
                <w:szCs w:val="16"/>
              </w:rPr>
              <w:tab/>
            </w:r>
            <w:r w:rsidRPr="00837D4A">
              <w:rPr>
                <w:rFonts w:ascii="Verdana" w:hAnsi="Verdana"/>
                <w:sz w:val="16"/>
                <w:szCs w:val="16"/>
              </w:rPr>
              <w:t>Transportista: Persona titular de un permiso de Transporte;</w:t>
            </w:r>
          </w:p>
        </w:tc>
        <w:tc>
          <w:tcPr>
            <w:tcW w:w="4649" w:type="dxa"/>
          </w:tcPr>
          <w:p w14:paraId="3327EF1C" w14:textId="755D782B"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XLIX. </w:t>
            </w:r>
            <w:r w:rsidRPr="00837D4A">
              <w:rPr>
                <w:rFonts w:ascii="Verdana" w:hAnsi="Verdana"/>
                <w:b/>
                <w:sz w:val="16"/>
                <w:szCs w:val="16"/>
                <w:lang w:val="en-US"/>
              </w:rPr>
              <w:tab/>
            </w:r>
            <w:r w:rsidRPr="00837D4A">
              <w:rPr>
                <w:rFonts w:ascii="Verdana" w:hAnsi="Verdana"/>
                <w:sz w:val="16"/>
                <w:szCs w:val="16"/>
                <w:lang w:val="en-US"/>
              </w:rPr>
              <w:t>Carrier: Person holding a Transport permit;</w:t>
            </w:r>
          </w:p>
        </w:tc>
      </w:tr>
      <w:tr w:rsidR="009849AC" w:rsidRPr="002314E3" w14:paraId="2E84BFAC" w14:textId="1E0CD892" w:rsidTr="00F867DE">
        <w:tc>
          <w:tcPr>
            <w:tcW w:w="4711" w:type="dxa"/>
          </w:tcPr>
          <w:p w14:paraId="65133FD5"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lastRenderedPageBreak/>
              <w:t>L.</w:t>
            </w:r>
            <w:r w:rsidRPr="00837D4A">
              <w:rPr>
                <w:rFonts w:ascii="Verdana" w:hAnsi="Verdana"/>
                <w:b/>
                <w:sz w:val="16"/>
                <w:szCs w:val="16"/>
              </w:rPr>
              <w:tab/>
            </w:r>
            <w:r w:rsidRPr="00837D4A">
              <w:rPr>
                <w:rFonts w:ascii="Verdana" w:hAnsi="Verdana"/>
                <w:sz w:val="16"/>
                <w:szCs w:val="16"/>
              </w:rPr>
              <w:t>Transvase: Operación que forma parte de una actividad regulada por la Ley y este reglamento, que consiste en transferir Hidrocarburos, Petrolíferos o Petroquímicos de un recipiente a otro y que debe llevarse a cabo de conformidad con lo previsto en el artículo 114 de la Ley, en este reglamento y en la Normatividad aplicable;</w:t>
            </w:r>
          </w:p>
        </w:tc>
        <w:tc>
          <w:tcPr>
            <w:tcW w:w="4649" w:type="dxa"/>
          </w:tcPr>
          <w:p w14:paraId="6DDD12E2" w14:textId="4F19121C"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L. </w:t>
            </w:r>
            <w:r w:rsidRPr="00837D4A">
              <w:rPr>
                <w:rFonts w:ascii="Verdana" w:hAnsi="Verdana"/>
                <w:b/>
                <w:sz w:val="16"/>
                <w:szCs w:val="16"/>
                <w:lang w:val="en-US"/>
              </w:rPr>
              <w:tab/>
            </w:r>
            <w:r w:rsidRPr="00837D4A">
              <w:rPr>
                <w:rFonts w:ascii="Verdana" w:hAnsi="Verdana"/>
                <w:sz w:val="16"/>
                <w:szCs w:val="16"/>
                <w:lang w:val="en-US"/>
              </w:rPr>
              <w:t>Transfer: Operation that is part of an activity regulated by the Law and this regulation, which consists of transferring hydrocarbons, petroleum products or petrochemicals from one container to another and which must be carried out in accordance with the provisions of article 114 of the Law, in this regulation and in the applicable legislation;</w:t>
            </w:r>
          </w:p>
        </w:tc>
      </w:tr>
      <w:tr w:rsidR="009849AC" w:rsidRPr="002314E3" w14:paraId="3A0D709F" w14:textId="552A4AA2" w:rsidTr="00F867DE">
        <w:tc>
          <w:tcPr>
            <w:tcW w:w="4711" w:type="dxa"/>
          </w:tcPr>
          <w:p w14:paraId="35B9F58A"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LI.</w:t>
            </w:r>
            <w:r w:rsidRPr="00837D4A">
              <w:rPr>
                <w:rFonts w:ascii="Verdana" w:hAnsi="Verdana"/>
                <w:b/>
                <w:sz w:val="16"/>
                <w:szCs w:val="16"/>
              </w:rPr>
              <w:tab/>
            </w:r>
            <w:r w:rsidRPr="00837D4A">
              <w:rPr>
                <w:rFonts w:ascii="Verdana" w:hAnsi="Verdana"/>
                <w:sz w:val="16"/>
                <w:szCs w:val="16"/>
              </w:rPr>
              <w:t>Trayecto: Recorrido de un Sistema de Transporte por medio de Ductos de uno o más puntos de origen a uno o más puntos de destino;</w:t>
            </w:r>
          </w:p>
        </w:tc>
        <w:tc>
          <w:tcPr>
            <w:tcW w:w="4649" w:type="dxa"/>
          </w:tcPr>
          <w:p w14:paraId="527DFD4C" w14:textId="0037E0DB"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LI. </w:t>
            </w:r>
            <w:r w:rsidRPr="00837D4A">
              <w:rPr>
                <w:rFonts w:ascii="Verdana" w:hAnsi="Verdana"/>
                <w:b/>
                <w:sz w:val="16"/>
                <w:szCs w:val="16"/>
                <w:lang w:val="en-US"/>
              </w:rPr>
              <w:tab/>
            </w:r>
            <w:r w:rsidRPr="00837D4A">
              <w:rPr>
                <w:rFonts w:ascii="Verdana" w:hAnsi="Verdana"/>
                <w:sz w:val="16"/>
                <w:szCs w:val="16"/>
                <w:lang w:val="en-US"/>
              </w:rPr>
              <w:t>Route: The journey of a transportation system by means of pipelines from one or more points of origin to one or more points of destination;</w:t>
            </w:r>
          </w:p>
        </w:tc>
      </w:tr>
      <w:tr w:rsidR="009849AC" w:rsidRPr="002314E3" w14:paraId="77F77EE9" w14:textId="466B1B49" w:rsidTr="00F867DE">
        <w:tc>
          <w:tcPr>
            <w:tcW w:w="4711" w:type="dxa"/>
          </w:tcPr>
          <w:p w14:paraId="30A65429"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LII.</w:t>
            </w:r>
            <w:r w:rsidRPr="00837D4A">
              <w:rPr>
                <w:rFonts w:ascii="Verdana" w:hAnsi="Verdana"/>
                <w:b/>
                <w:sz w:val="16"/>
                <w:szCs w:val="16"/>
              </w:rPr>
              <w:tab/>
            </w:r>
            <w:r w:rsidRPr="00837D4A">
              <w:rPr>
                <w:rFonts w:ascii="Verdana" w:hAnsi="Verdana"/>
                <w:sz w:val="16"/>
                <w:szCs w:val="16"/>
              </w:rPr>
              <w:t>Trazabilidad: Capacidad de identificar la procedencia de Hidrocarburos, Petrolíferos y Petroquímicos desde su origen y hasta su destino final a lo largo de las actividades reguladas en el artículo 3 de la Ley;</w:t>
            </w:r>
          </w:p>
        </w:tc>
        <w:tc>
          <w:tcPr>
            <w:tcW w:w="4649" w:type="dxa"/>
          </w:tcPr>
          <w:p w14:paraId="16028EB9" w14:textId="7AB9EF25"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LII. </w:t>
            </w:r>
            <w:r w:rsidRPr="00837D4A">
              <w:rPr>
                <w:rFonts w:ascii="Verdana" w:hAnsi="Verdana"/>
                <w:b/>
                <w:sz w:val="16"/>
                <w:szCs w:val="16"/>
                <w:lang w:val="en-US"/>
              </w:rPr>
              <w:tab/>
            </w:r>
            <w:r w:rsidRPr="00837D4A">
              <w:rPr>
                <w:rFonts w:ascii="Verdana" w:hAnsi="Verdana"/>
                <w:sz w:val="16"/>
                <w:szCs w:val="16"/>
                <w:lang w:val="en-US"/>
              </w:rPr>
              <w:t>Traceability: Ability to identify the origin of hydrocarbons, petroleum products and petrochemicals from their source to their final destination throughout the activities regulated in Article 3 of the Law;</w:t>
            </w:r>
          </w:p>
        </w:tc>
      </w:tr>
      <w:tr w:rsidR="009849AC" w:rsidRPr="002314E3" w14:paraId="00EBE623" w14:textId="7B2A0274" w:rsidTr="00F867DE">
        <w:tc>
          <w:tcPr>
            <w:tcW w:w="4711" w:type="dxa"/>
          </w:tcPr>
          <w:p w14:paraId="6CCC9E90"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LIII.</w:t>
            </w:r>
            <w:r w:rsidRPr="00837D4A">
              <w:rPr>
                <w:rFonts w:ascii="Verdana" w:hAnsi="Verdana"/>
                <w:b/>
                <w:sz w:val="16"/>
                <w:szCs w:val="16"/>
              </w:rPr>
              <w:tab/>
            </w:r>
            <w:r w:rsidRPr="00837D4A">
              <w:rPr>
                <w:rFonts w:ascii="Verdana" w:hAnsi="Verdana"/>
                <w:sz w:val="16"/>
                <w:szCs w:val="16"/>
              </w:rPr>
              <w:t>Turbosina: Petrolífero proveniente del destilado intermedio del petróleo, compuesto por una mezcla de Hidrocarburos, que es usado para el funcionamiento de las turbinas de aeronaves y que cumple con la especificación de calidad prevista en la Norma Oficial Mexicana respectiva;</w:t>
            </w:r>
          </w:p>
        </w:tc>
        <w:tc>
          <w:tcPr>
            <w:tcW w:w="4649" w:type="dxa"/>
          </w:tcPr>
          <w:p w14:paraId="15AD25A3" w14:textId="69D1B88C"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LIII. </w:t>
            </w:r>
            <w:r w:rsidRPr="00837D4A">
              <w:rPr>
                <w:rFonts w:ascii="Verdana" w:hAnsi="Verdana"/>
                <w:b/>
                <w:sz w:val="16"/>
                <w:szCs w:val="16"/>
                <w:lang w:val="en-US"/>
              </w:rPr>
              <w:tab/>
            </w:r>
            <w:proofErr w:type="spellStart"/>
            <w:r w:rsidRPr="00837D4A">
              <w:rPr>
                <w:rFonts w:ascii="Verdana" w:hAnsi="Verdana"/>
                <w:sz w:val="16"/>
                <w:szCs w:val="16"/>
                <w:lang w:val="en-US"/>
              </w:rPr>
              <w:t>Turbosine</w:t>
            </w:r>
            <w:proofErr w:type="spellEnd"/>
            <w:r w:rsidRPr="00837D4A">
              <w:rPr>
                <w:rFonts w:ascii="Verdana" w:hAnsi="Verdana"/>
                <w:sz w:val="16"/>
                <w:szCs w:val="16"/>
                <w:lang w:val="en-US"/>
              </w:rPr>
              <w:t>: Petroleum derived from the intermediate distillate of petroleum, composed of a mixture of hydrocarbons, which is used for the operation of aircraft turbines and which meets the quality specification provided for in the respective Official Mexican Standard;</w:t>
            </w:r>
          </w:p>
        </w:tc>
      </w:tr>
      <w:tr w:rsidR="009849AC" w:rsidRPr="002314E3" w14:paraId="18BE1021" w14:textId="2E899DAE" w:rsidTr="00F867DE">
        <w:tc>
          <w:tcPr>
            <w:tcW w:w="4711" w:type="dxa"/>
          </w:tcPr>
          <w:p w14:paraId="74E88EE0"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LIV.</w:t>
            </w:r>
            <w:r w:rsidRPr="00837D4A">
              <w:rPr>
                <w:rFonts w:ascii="Verdana" w:hAnsi="Verdana"/>
                <w:b/>
                <w:sz w:val="16"/>
                <w:szCs w:val="16"/>
              </w:rPr>
              <w:tab/>
            </w:r>
            <w:r w:rsidRPr="00837D4A">
              <w:rPr>
                <w:rFonts w:ascii="Verdana" w:hAnsi="Verdana"/>
                <w:sz w:val="16"/>
                <w:szCs w:val="16"/>
              </w:rPr>
              <w:t>Unificación: Instrucción emitida por la Secretaría a las personas Asignatarias o Contratistas, una vez determinada la existencia de un campo o un yacimiento compartido entre Áreas de Asignación, Áreas de Asignación y Áreas Contractuales, o entre Áreas Contractuales;</w:t>
            </w:r>
          </w:p>
        </w:tc>
        <w:tc>
          <w:tcPr>
            <w:tcW w:w="4649" w:type="dxa"/>
          </w:tcPr>
          <w:p w14:paraId="7072F047" w14:textId="441CD41E"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LIV. </w:t>
            </w:r>
            <w:r w:rsidRPr="00837D4A">
              <w:rPr>
                <w:rFonts w:ascii="Verdana" w:hAnsi="Verdana"/>
                <w:b/>
                <w:sz w:val="16"/>
                <w:szCs w:val="16"/>
                <w:lang w:val="en-US"/>
              </w:rPr>
              <w:tab/>
            </w:r>
            <w:r w:rsidRPr="00837D4A">
              <w:rPr>
                <w:rFonts w:ascii="Verdana" w:hAnsi="Verdana"/>
                <w:sz w:val="16"/>
                <w:szCs w:val="16"/>
                <w:lang w:val="en-US"/>
              </w:rPr>
              <w:t>Unification: Instruction issued by the Secretary to the Assignees or Contractors, once the existence of a field or reservoir shared between Assignment areas, Assignment areas and Contractual Areas, or between Contractual Areas has been determined;</w:t>
            </w:r>
          </w:p>
        </w:tc>
      </w:tr>
      <w:tr w:rsidR="009849AC" w:rsidRPr="002314E3" w14:paraId="3F691862" w14:textId="0478CC5B" w:rsidTr="00F867DE">
        <w:tc>
          <w:tcPr>
            <w:tcW w:w="4711" w:type="dxa"/>
          </w:tcPr>
          <w:p w14:paraId="4E7D7E74"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LV.</w:t>
            </w:r>
            <w:r w:rsidRPr="00837D4A">
              <w:rPr>
                <w:rFonts w:ascii="Verdana" w:hAnsi="Verdana"/>
                <w:b/>
                <w:sz w:val="16"/>
                <w:szCs w:val="16"/>
              </w:rPr>
              <w:tab/>
            </w:r>
            <w:r w:rsidRPr="00837D4A">
              <w:rPr>
                <w:rFonts w:ascii="Verdana" w:hAnsi="Verdana"/>
                <w:sz w:val="16"/>
                <w:szCs w:val="16"/>
              </w:rPr>
              <w:t>Usos Propios: Modalidad de los permisos para las actividades de Transporte por medio de Ductos y de Almacenamiento de Hidrocarburos, Petrolíferos y Petroquímicos que se otorga cuando la persona titular del permiso en esta modalidad utiliza los Hidrocarburos y los Petrolíferos para su consumo final en equipos de procesos industriales y los Petroquímicos como materia prima para sus procesos industriales, sin que dichos productos puedan venderse, cederse o transferirse a Particulares, y</w:t>
            </w:r>
          </w:p>
        </w:tc>
        <w:tc>
          <w:tcPr>
            <w:tcW w:w="4649" w:type="dxa"/>
          </w:tcPr>
          <w:p w14:paraId="29447C94" w14:textId="63DB4F93"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LV. </w:t>
            </w:r>
            <w:r w:rsidRPr="00837D4A">
              <w:rPr>
                <w:rFonts w:ascii="Verdana" w:hAnsi="Verdana"/>
                <w:b/>
                <w:sz w:val="16"/>
                <w:szCs w:val="16"/>
                <w:lang w:val="en-US"/>
              </w:rPr>
              <w:tab/>
            </w:r>
            <w:r w:rsidRPr="00837D4A">
              <w:rPr>
                <w:rFonts w:ascii="Verdana" w:hAnsi="Verdana"/>
                <w:sz w:val="16"/>
                <w:szCs w:val="16"/>
                <w:lang w:val="en-US"/>
              </w:rPr>
              <w:t>Own Uses: Modality of permits for the activities of transportation by means of pipelines and storage of hydrocarbons, petroleum products and petrochemicals that is granted when the person holding the permit in this modality uses the hydrocarbons and petroleum products for their final consumption in industrial process equipment and the petrochemicals as raw material for their industrial processes, without said products being able to be sold, assigned or transferred to Private Parties, and</w:t>
            </w:r>
          </w:p>
        </w:tc>
      </w:tr>
      <w:tr w:rsidR="009849AC" w:rsidRPr="002314E3" w14:paraId="53401741" w14:textId="436BF21D" w:rsidTr="00F867DE">
        <w:tc>
          <w:tcPr>
            <w:tcW w:w="4711" w:type="dxa"/>
          </w:tcPr>
          <w:p w14:paraId="3DD94530"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LVI.</w:t>
            </w:r>
            <w:r w:rsidRPr="00837D4A">
              <w:rPr>
                <w:rFonts w:ascii="Verdana" w:hAnsi="Verdana"/>
                <w:b/>
                <w:sz w:val="16"/>
                <w:szCs w:val="16"/>
              </w:rPr>
              <w:tab/>
            </w:r>
            <w:r w:rsidRPr="00837D4A">
              <w:rPr>
                <w:rFonts w:ascii="Verdana" w:hAnsi="Verdana"/>
                <w:sz w:val="16"/>
                <w:szCs w:val="16"/>
              </w:rPr>
              <w:t>Vehículo de Reparto: El medio utilizado para la Distribución de Gas Licuado de Petróleo a través de Recipientes Transportables sujetos a presión y Recipientes Portátiles.</w:t>
            </w:r>
          </w:p>
        </w:tc>
        <w:tc>
          <w:tcPr>
            <w:tcW w:w="4649" w:type="dxa"/>
          </w:tcPr>
          <w:p w14:paraId="1F340CCB" w14:textId="3CC651C2"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LVI. </w:t>
            </w:r>
            <w:r w:rsidRPr="00837D4A">
              <w:rPr>
                <w:rFonts w:ascii="Verdana" w:hAnsi="Verdana"/>
                <w:b/>
                <w:sz w:val="16"/>
                <w:szCs w:val="16"/>
                <w:lang w:val="en-US"/>
              </w:rPr>
              <w:tab/>
            </w:r>
            <w:r w:rsidRPr="00837D4A">
              <w:rPr>
                <w:rFonts w:ascii="Verdana" w:hAnsi="Verdana"/>
                <w:sz w:val="16"/>
                <w:szCs w:val="16"/>
                <w:lang w:val="en-US"/>
              </w:rPr>
              <w:t>Delivery Vehicle: The means used for the distribution of liquefied petroleum gas through pressurized transportable containers and portable containers.</w:t>
            </w:r>
          </w:p>
        </w:tc>
      </w:tr>
      <w:tr w:rsidR="009849AC" w:rsidRPr="002314E3" w14:paraId="279674F3" w14:textId="2ADB7B73" w:rsidTr="00F867DE">
        <w:tc>
          <w:tcPr>
            <w:tcW w:w="4711" w:type="dxa"/>
          </w:tcPr>
          <w:p w14:paraId="5CC90A21"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Artículo 4.</w:t>
            </w:r>
            <w:r w:rsidRPr="00837D4A">
              <w:rPr>
                <w:rFonts w:ascii="Verdana" w:hAnsi="Verdana"/>
                <w:sz w:val="16"/>
                <w:szCs w:val="16"/>
              </w:rPr>
              <w:t xml:space="preserve"> La actuación administrativa en los procedimientos previstos en la Ley y en este reglamento se debe desarrollar conforme a los principios de economía, competitividad, sencillez, celeridad, eficiencia, legalidad, simplificación administrativa, mejores prácticas de la industria, transparencia, imparcialidad, máxima publicidad, igualdad y buena fe.</w:t>
            </w:r>
          </w:p>
        </w:tc>
        <w:tc>
          <w:tcPr>
            <w:tcW w:w="4649" w:type="dxa"/>
          </w:tcPr>
          <w:p w14:paraId="411BAAFE" w14:textId="1F3B59D8"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4. </w:t>
            </w:r>
            <w:r w:rsidRPr="00837D4A">
              <w:rPr>
                <w:rFonts w:ascii="Verdana" w:hAnsi="Verdana"/>
                <w:sz w:val="16"/>
                <w:szCs w:val="16"/>
                <w:lang w:val="en-US"/>
              </w:rPr>
              <w:t>Administrative action in the procedures provided for in the Law and in this regulation must be carried out in accordance with the principles of economy, competitiveness, simplicity, speed, efficiency, legality, administrative simplification, industry best practices, transparency, impartiality, maximum publicity, equality, and good faith.</w:t>
            </w:r>
          </w:p>
        </w:tc>
      </w:tr>
      <w:tr w:rsidR="009849AC" w:rsidRPr="002314E3" w14:paraId="7B5397F0" w14:textId="5D7B9F4C" w:rsidTr="00F867DE">
        <w:tc>
          <w:tcPr>
            <w:tcW w:w="4711" w:type="dxa"/>
          </w:tcPr>
          <w:p w14:paraId="52114367"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Artículo 5. </w:t>
            </w:r>
            <w:r w:rsidRPr="00837D4A">
              <w:rPr>
                <w:rFonts w:ascii="Verdana" w:hAnsi="Verdana"/>
                <w:sz w:val="16"/>
                <w:szCs w:val="16"/>
              </w:rPr>
              <w:t xml:space="preserve">Las personas interesadas en obtener permisos, autorizaciones u otros actos administrativos previstos en la Ley, este reglamento y la Normatividad </w:t>
            </w:r>
            <w:r w:rsidRPr="00837D4A">
              <w:rPr>
                <w:rFonts w:ascii="Verdana" w:hAnsi="Verdana"/>
                <w:sz w:val="16"/>
                <w:szCs w:val="16"/>
              </w:rPr>
              <w:lastRenderedPageBreak/>
              <w:t>aplicable deben presentar sus solicitudes ante la autoridad competente, conforme a los formatos autorizados para tal fin, los cuales deben ser publicados por la autoridad competente, en los medios que esta determine.</w:t>
            </w:r>
          </w:p>
        </w:tc>
        <w:tc>
          <w:tcPr>
            <w:tcW w:w="4649" w:type="dxa"/>
          </w:tcPr>
          <w:p w14:paraId="6A9B1C52" w14:textId="7B0B17FB"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5. </w:t>
            </w:r>
            <w:r w:rsidRPr="00837D4A">
              <w:rPr>
                <w:rFonts w:ascii="Verdana" w:hAnsi="Verdana"/>
                <w:sz w:val="16"/>
                <w:szCs w:val="16"/>
                <w:lang w:val="en-US"/>
              </w:rPr>
              <w:t xml:space="preserve">Persons interested in obtaining permits, authorizations or other administrative acts provided for in the Law, this regulation and the applicable legislation </w:t>
            </w:r>
            <w:r w:rsidRPr="00837D4A">
              <w:rPr>
                <w:rFonts w:ascii="Verdana" w:hAnsi="Verdana"/>
                <w:sz w:val="16"/>
                <w:szCs w:val="16"/>
                <w:lang w:val="en-US"/>
              </w:rPr>
              <w:lastRenderedPageBreak/>
              <w:t>must submit their applications to the appropriate  authority, in accordance with the formats authorized for such purpose, which must be published by the appropriate authority in the media it determines.</w:t>
            </w:r>
          </w:p>
        </w:tc>
      </w:tr>
      <w:tr w:rsidR="009849AC" w:rsidRPr="002314E3" w14:paraId="728430E7" w14:textId="5B9A5D57" w:rsidTr="00F867DE">
        <w:tc>
          <w:tcPr>
            <w:tcW w:w="4711" w:type="dxa"/>
          </w:tcPr>
          <w:p w14:paraId="50F8C401"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lastRenderedPageBreak/>
              <w:t>La Secretaría o la autoridad correspondiente, pueden implementar plataformas y herramientas tecnológicas para la recepción y gestión de notificaciones, avisos, informes, solicitudes de permisos, autorizaciones, seguimiento de proyectos, pago de derechos o aprovechamientos u otros actos administrativos, con el fin de garantizar accesibilidad, eficiencia y transparencia.</w:t>
            </w:r>
          </w:p>
        </w:tc>
        <w:tc>
          <w:tcPr>
            <w:tcW w:w="4649" w:type="dxa"/>
          </w:tcPr>
          <w:p w14:paraId="4BFBAD7E" w14:textId="6B0AF68B"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The Secretary or the corresponding authority may implement technological platforms and tools for receiving and managing notifications, notices, reports, permit applications, authorizations, project monitoring, payment of fees or rights, or other administrative acts, in order to ensure accessibility, efficiency, and transparency.</w:t>
            </w:r>
          </w:p>
        </w:tc>
      </w:tr>
      <w:tr w:rsidR="009849AC" w:rsidRPr="002314E3" w14:paraId="5CDDBAA9" w14:textId="113BA147" w:rsidTr="00F867DE">
        <w:tc>
          <w:tcPr>
            <w:tcW w:w="4711" w:type="dxa"/>
          </w:tcPr>
          <w:p w14:paraId="54550640"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Artículo 6. </w:t>
            </w:r>
            <w:r w:rsidRPr="00837D4A">
              <w:rPr>
                <w:rFonts w:ascii="Verdana" w:hAnsi="Verdana"/>
                <w:sz w:val="16"/>
                <w:szCs w:val="16"/>
              </w:rPr>
              <w:t>La interpretación y aplicación del presente reglamento para efectos administrativos corresponde, en el ámbito de sus atribuciones, a la Secretaría, a la Secretaría de Hacienda y Crédito Público, a la Secretaría de Economía, a la Comisión y a la Agencia.</w:t>
            </w:r>
          </w:p>
        </w:tc>
        <w:tc>
          <w:tcPr>
            <w:tcW w:w="4649" w:type="dxa"/>
          </w:tcPr>
          <w:p w14:paraId="37A6E6DA" w14:textId="1FC49A12"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6. </w:t>
            </w:r>
            <w:r w:rsidRPr="00837D4A">
              <w:rPr>
                <w:rFonts w:ascii="Verdana" w:hAnsi="Verdana"/>
                <w:sz w:val="16"/>
                <w:szCs w:val="16"/>
                <w:lang w:val="en-US"/>
              </w:rPr>
              <w:t>The interpretation and application of this Regulation for administrative purposes corresponds, within the scope of their powers, to the Secretary, the Secretary of Finance and Public Credit, the Secretary of Economy, the Commission and the Agency.</w:t>
            </w:r>
          </w:p>
        </w:tc>
      </w:tr>
      <w:tr w:rsidR="009849AC" w:rsidRPr="002314E3" w14:paraId="08ABA8B3" w14:textId="18F30CAB" w:rsidTr="00F867DE">
        <w:tc>
          <w:tcPr>
            <w:tcW w:w="4711" w:type="dxa"/>
          </w:tcPr>
          <w:p w14:paraId="414ED770"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En lo no previsto en el presente reglamento o la Normatividad que emitan la Secretaría o la Comisión en materia de actos, procedimientos y resoluciones administrativas de su competencia, es aplicable de manera supletoria la Ley Federal de Procedimiento Administrativo.</w:t>
            </w:r>
          </w:p>
        </w:tc>
        <w:tc>
          <w:tcPr>
            <w:tcW w:w="4649" w:type="dxa"/>
          </w:tcPr>
          <w:p w14:paraId="3F39BCEF" w14:textId="7202444D"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For matters not covered by this Regulation or the legislation issued by the Secretary or the Commission regarding administrative acts, procedures, and resolutions within their jurisdiction, the Federal Law on Administrative Procedure shall apply on a supplementary basis.</w:t>
            </w:r>
          </w:p>
        </w:tc>
      </w:tr>
      <w:tr w:rsidR="009849AC" w:rsidRPr="00D0180E" w14:paraId="39DB0944" w14:textId="2511FB3C" w:rsidTr="00F867DE">
        <w:tc>
          <w:tcPr>
            <w:tcW w:w="4711" w:type="dxa"/>
          </w:tcPr>
          <w:p w14:paraId="3C7399AB"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TÍTULO SEGUNDO</w:t>
            </w:r>
          </w:p>
        </w:tc>
        <w:tc>
          <w:tcPr>
            <w:tcW w:w="4649" w:type="dxa"/>
          </w:tcPr>
          <w:p w14:paraId="3DE0018B" w14:textId="1DBEF557" w:rsidR="009849AC" w:rsidRPr="00837D4A" w:rsidRDefault="009849AC" w:rsidP="009849AC">
            <w:pPr>
              <w:pStyle w:val="Texto"/>
              <w:spacing w:line="236" w:lineRule="exact"/>
              <w:ind w:firstLine="0"/>
              <w:jc w:val="center"/>
              <w:rPr>
                <w:rFonts w:ascii="Verdana" w:hAnsi="Verdana"/>
                <w:b/>
                <w:sz w:val="16"/>
                <w:szCs w:val="16"/>
                <w:lang w:val="en-US"/>
              </w:rPr>
            </w:pPr>
            <w:r w:rsidRPr="00837D4A">
              <w:rPr>
                <w:rFonts w:ascii="Verdana" w:hAnsi="Verdana"/>
                <w:b/>
                <w:sz w:val="16"/>
                <w:szCs w:val="16"/>
              </w:rPr>
              <w:t>SECOND TITLE</w:t>
            </w:r>
          </w:p>
        </w:tc>
      </w:tr>
      <w:tr w:rsidR="009849AC" w:rsidRPr="002314E3" w14:paraId="37817A55" w14:textId="55A7F5AE" w:rsidTr="00F867DE">
        <w:tc>
          <w:tcPr>
            <w:tcW w:w="4711" w:type="dxa"/>
          </w:tcPr>
          <w:p w14:paraId="22FF4EDF"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DEL RECONOCIMIENTO Y EXPLORACIÓN SUPERFICIAL Y DE LA EXPLORACIÓN Y EXTRACCIÓN DE HIDROCARBUROS</w:t>
            </w:r>
          </w:p>
        </w:tc>
        <w:tc>
          <w:tcPr>
            <w:tcW w:w="4649" w:type="dxa"/>
          </w:tcPr>
          <w:p w14:paraId="2788F94B" w14:textId="443CAFD7" w:rsidR="009849AC" w:rsidRPr="00837D4A" w:rsidRDefault="009849AC" w:rsidP="009849AC">
            <w:pPr>
              <w:pStyle w:val="Texto"/>
              <w:spacing w:line="236" w:lineRule="exact"/>
              <w:ind w:firstLine="0"/>
              <w:jc w:val="center"/>
              <w:rPr>
                <w:rFonts w:ascii="Verdana" w:hAnsi="Verdana"/>
                <w:b/>
                <w:sz w:val="16"/>
                <w:szCs w:val="16"/>
                <w:lang w:val="en-US"/>
              </w:rPr>
            </w:pPr>
            <w:r w:rsidRPr="00837D4A">
              <w:rPr>
                <w:rFonts w:ascii="Verdana" w:hAnsi="Verdana"/>
                <w:b/>
                <w:sz w:val="16"/>
                <w:szCs w:val="16"/>
                <w:lang w:val="en-US"/>
              </w:rPr>
              <w:t>SURFACE RECONNAISSANCE AND EXPLORATION AND HYDROCARBON EXPLORATION AND EXTRACTION</w:t>
            </w:r>
          </w:p>
        </w:tc>
      </w:tr>
      <w:tr w:rsidR="009849AC" w:rsidRPr="00D0180E" w14:paraId="71308F7D" w14:textId="4CD066FF" w:rsidTr="00F867DE">
        <w:tc>
          <w:tcPr>
            <w:tcW w:w="4711" w:type="dxa"/>
          </w:tcPr>
          <w:p w14:paraId="7D3EE6FE"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Capítulo I</w:t>
            </w:r>
          </w:p>
        </w:tc>
        <w:tc>
          <w:tcPr>
            <w:tcW w:w="4649" w:type="dxa"/>
          </w:tcPr>
          <w:p w14:paraId="720C19AD" w14:textId="694C3A83" w:rsidR="009849AC" w:rsidRPr="00837D4A" w:rsidRDefault="009849AC" w:rsidP="009849AC">
            <w:pPr>
              <w:pStyle w:val="Texto"/>
              <w:spacing w:line="236"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w:t>
            </w:r>
          </w:p>
        </w:tc>
      </w:tr>
      <w:tr w:rsidR="009849AC" w:rsidRPr="00B64903" w14:paraId="1207327B" w14:textId="55420845" w:rsidTr="00F867DE">
        <w:tc>
          <w:tcPr>
            <w:tcW w:w="4711" w:type="dxa"/>
          </w:tcPr>
          <w:p w14:paraId="6EFD99EE"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Del Reconocimiento y Exploración Superficial</w:t>
            </w:r>
          </w:p>
        </w:tc>
        <w:tc>
          <w:tcPr>
            <w:tcW w:w="4649" w:type="dxa"/>
          </w:tcPr>
          <w:p w14:paraId="614413CF" w14:textId="5D1AEA3F" w:rsidR="009849AC" w:rsidRPr="00837D4A" w:rsidRDefault="009849AC" w:rsidP="009849AC">
            <w:pPr>
              <w:pStyle w:val="Texto"/>
              <w:spacing w:line="236" w:lineRule="exact"/>
              <w:ind w:firstLine="0"/>
              <w:jc w:val="center"/>
              <w:rPr>
                <w:rFonts w:ascii="Verdana" w:hAnsi="Verdana"/>
                <w:b/>
                <w:sz w:val="16"/>
                <w:szCs w:val="16"/>
                <w:lang w:val="en-US"/>
              </w:rPr>
            </w:pPr>
            <w:r w:rsidRPr="00837D4A">
              <w:rPr>
                <w:rFonts w:ascii="Verdana" w:hAnsi="Verdana"/>
                <w:b/>
                <w:sz w:val="16"/>
                <w:szCs w:val="16"/>
                <w:lang w:val="en-US"/>
              </w:rPr>
              <w:t>Surface Reconnaissance and Exploration</w:t>
            </w:r>
          </w:p>
        </w:tc>
      </w:tr>
      <w:tr w:rsidR="009849AC" w:rsidRPr="002314E3" w14:paraId="58F61E77" w14:textId="0BB8D6C0" w:rsidTr="00F867DE">
        <w:tc>
          <w:tcPr>
            <w:tcW w:w="4711" w:type="dxa"/>
          </w:tcPr>
          <w:p w14:paraId="39284544"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Artículo 7. </w:t>
            </w:r>
            <w:r w:rsidRPr="00837D4A">
              <w:rPr>
                <w:rFonts w:ascii="Verdana" w:hAnsi="Verdana"/>
                <w:sz w:val="16"/>
                <w:szCs w:val="16"/>
              </w:rPr>
              <w:t>Las actividades de Reconocimiento y Exploración Superficial requieren autorización de la Secretaría, con excepción del supuesto previsto en el artículo 65, tercer párrafo, de la Ley.</w:t>
            </w:r>
          </w:p>
        </w:tc>
        <w:tc>
          <w:tcPr>
            <w:tcW w:w="4649" w:type="dxa"/>
          </w:tcPr>
          <w:p w14:paraId="4D134277" w14:textId="6C99550A"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7. </w:t>
            </w:r>
            <w:r w:rsidRPr="00837D4A">
              <w:rPr>
                <w:rFonts w:ascii="Verdana" w:hAnsi="Verdana"/>
                <w:sz w:val="16"/>
                <w:szCs w:val="16"/>
                <w:lang w:val="en-US"/>
              </w:rPr>
              <w:t>Surface Reconnaissance and Exploration activities require authorization from the Secretary, except in the case provided for in Article 65, third paragraph of the Law.</w:t>
            </w:r>
          </w:p>
        </w:tc>
      </w:tr>
      <w:tr w:rsidR="009849AC" w:rsidRPr="002314E3" w14:paraId="71D4EDBE" w14:textId="76E9AA57" w:rsidTr="00F867DE">
        <w:tc>
          <w:tcPr>
            <w:tcW w:w="4711" w:type="dxa"/>
          </w:tcPr>
          <w:p w14:paraId="74FB901F"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Petróleos Mexicanos o la persona Particular que pretenda obtener la autorización a que se refiere este artículo, debe presentar a la Secretaría una solicitud que contenga lo siguiente:</w:t>
            </w:r>
          </w:p>
        </w:tc>
        <w:tc>
          <w:tcPr>
            <w:tcW w:w="4649" w:type="dxa"/>
          </w:tcPr>
          <w:p w14:paraId="7D38C702" w14:textId="124BF298"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Petróleos Mexicanos or the individual seeking to obtain the authorization referred to in this article must submit to the Secretary an application containing the following:</w:t>
            </w:r>
          </w:p>
        </w:tc>
      </w:tr>
      <w:tr w:rsidR="009849AC" w:rsidRPr="002314E3" w14:paraId="07B687A6" w14:textId="06379E3A" w:rsidTr="00F867DE">
        <w:tc>
          <w:tcPr>
            <w:tcW w:w="4711" w:type="dxa"/>
          </w:tcPr>
          <w:p w14:paraId="10B1953A"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Formato autorizado debidamente requisitado;</w:t>
            </w:r>
          </w:p>
        </w:tc>
        <w:tc>
          <w:tcPr>
            <w:tcW w:w="4649" w:type="dxa"/>
          </w:tcPr>
          <w:p w14:paraId="1EBDCC59" w14:textId="1F7BA849"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Authorized format duly requested;</w:t>
            </w:r>
          </w:p>
        </w:tc>
      </w:tr>
      <w:tr w:rsidR="009849AC" w:rsidRPr="002314E3" w14:paraId="13E358BD" w14:textId="72552B6D" w:rsidTr="00F867DE">
        <w:tc>
          <w:tcPr>
            <w:tcW w:w="4711" w:type="dxa"/>
          </w:tcPr>
          <w:p w14:paraId="007E99EA" w14:textId="77777777" w:rsidR="009849AC" w:rsidRPr="00837D4A" w:rsidRDefault="009849AC" w:rsidP="009849AC">
            <w:pPr>
              <w:pStyle w:val="Texto"/>
              <w:spacing w:line="236"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Acreditación de la personalidad jurídica;</w:t>
            </w:r>
          </w:p>
        </w:tc>
        <w:tc>
          <w:tcPr>
            <w:tcW w:w="4649" w:type="dxa"/>
          </w:tcPr>
          <w:p w14:paraId="486FDE2C" w14:textId="22A87C2C"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Accreditation of legal standing;</w:t>
            </w:r>
          </w:p>
        </w:tc>
      </w:tr>
      <w:tr w:rsidR="009849AC" w:rsidRPr="002314E3" w14:paraId="2D2A43D4" w14:textId="06AB1548" w:rsidTr="00F867DE">
        <w:tc>
          <w:tcPr>
            <w:tcW w:w="4711" w:type="dxa"/>
          </w:tcPr>
          <w:p w14:paraId="13CFFD04" w14:textId="77777777" w:rsidR="009849AC" w:rsidRPr="00837D4A" w:rsidRDefault="009849AC" w:rsidP="009849AC">
            <w:pPr>
              <w:pStyle w:val="Texto"/>
              <w:spacing w:line="236"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 descripción general del proyecto, la cual debe incluir el objeto y alcance;</w:t>
            </w:r>
          </w:p>
        </w:tc>
        <w:tc>
          <w:tcPr>
            <w:tcW w:w="4649" w:type="dxa"/>
          </w:tcPr>
          <w:p w14:paraId="6C5C0FB8" w14:textId="4FA13EBC"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general description of the project, which must include the purpose and scope;</w:t>
            </w:r>
          </w:p>
        </w:tc>
      </w:tr>
      <w:tr w:rsidR="009849AC" w:rsidRPr="002314E3" w14:paraId="40615576" w14:textId="22D3F843" w:rsidTr="00F867DE">
        <w:tc>
          <w:tcPr>
            <w:tcW w:w="4711" w:type="dxa"/>
          </w:tcPr>
          <w:p w14:paraId="4978F524" w14:textId="77777777" w:rsidR="009849AC" w:rsidRPr="00837D4A" w:rsidRDefault="009849AC" w:rsidP="009849AC">
            <w:pPr>
              <w:pStyle w:val="Texto"/>
              <w:spacing w:line="236"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Las áreas en las que se pretende realizar el levantamiento de datos de campo;</w:t>
            </w:r>
          </w:p>
        </w:tc>
        <w:tc>
          <w:tcPr>
            <w:tcW w:w="4649" w:type="dxa"/>
          </w:tcPr>
          <w:p w14:paraId="38E7E3E7" w14:textId="77F08B15"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areas in which field data collection is intended to be carried out;</w:t>
            </w:r>
          </w:p>
        </w:tc>
      </w:tr>
      <w:tr w:rsidR="009849AC" w:rsidRPr="002314E3" w14:paraId="4DCA96E3" w14:textId="331EEC49" w:rsidTr="00F867DE">
        <w:tc>
          <w:tcPr>
            <w:tcW w:w="4711" w:type="dxa"/>
          </w:tcPr>
          <w:p w14:paraId="711856E6" w14:textId="77777777" w:rsidR="009849AC" w:rsidRPr="00837D4A" w:rsidRDefault="009849AC" w:rsidP="009849AC">
            <w:pPr>
              <w:pStyle w:val="Texto"/>
              <w:spacing w:line="236"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 descripción del plan de adquisición de datos a realizar;</w:t>
            </w:r>
          </w:p>
        </w:tc>
        <w:tc>
          <w:tcPr>
            <w:tcW w:w="4649" w:type="dxa"/>
          </w:tcPr>
          <w:p w14:paraId="445B7E6B" w14:textId="6214AE32"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description of the data acquisition plan to be carried out;</w:t>
            </w:r>
          </w:p>
        </w:tc>
      </w:tr>
      <w:tr w:rsidR="009849AC" w:rsidRPr="002314E3" w14:paraId="7E9BF11C" w14:textId="050D96CE" w:rsidTr="00F867DE">
        <w:tc>
          <w:tcPr>
            <w:tcW w:w="4711" w:type="dxa"/>
          </w:tcPr>
          <w:p w14:paraId="700B5A81" w14:textId="77777777" w:rsidR="009849AC" w:rsidRPr="00837D4A" w:rsidRDefault="009849AC" w:rsidP="009849AC">
            <w:pPr>
              <w:pStyle w:val="Texto"/>
              <w:spacing w:line="236"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 descripción general de la tecnología a utilizar para la adquisición de datos;</w:t>
            </w:r>
          </w:p>
        </w:tc>
        <w:tc>
          <w:tcPr>
            <w:tcW w:w="4649" w:type="dxa"/>
          </w:tcPr>
          <w:p w14:paraId="755F1EB2" w14:textId="4E6BA0E2"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The general description of the technology to be used for data acquisition;</w:t>
            </w:r>
          </w:p>
        </w:tc>
      </w:tr>
      <w:tr w:rsidR="009849AC" w:rsidRPr="002314E3" w14:paraId="53AB3413" w14:textId="5D2985E7" w:rsidTr="00F867DE">
        <w:tc>
          <w:tcPr>
            <w:tcW w:w="4711" w:type="dxa"/>
          </w:tcPr>
          <w:p w14:paraId="3F7DAEE4" w14:textId="77777777" w:rsidR="009849AC" w:rsidRPr="00837D4A" w:rsidRDefault="009849AC" w:rsidP="009849AC">
            <w:pPr>
              <w:pStyle w:val="Texto"/>
              <w:spacing w:line="236" w:lineRule="exact"/>
              <w:ind w:firstLine="0"/>
              <w:rPr>
                <w:rFonts w:ascii="Verdana" w:hAnsi="Verdana"/>
                <w:b/>
                <w:sz w:val="16"/>
                <w:szCs w:val="16"/>
              </w:rPr>
            </w:pPr>
            <w:r w:rsidRPr="00837D4A">
              <w:rPr>
                <w:rFonts w:ascii="Verdana" w:hAnsi="Verdana"/>
                <w:b/>
                <w:sz w:val="16"/>
                <w:szCs w:val="16"/>
              </w:rPr>
              <w:lastRenderedPageBreak/>
              <w:t>VII.</w:t>
            </w:r>
            <w:r w:rsidRPr="00837D4A">
              <w:rPr>
                <w:rFonts w:ascii="Verdana" w:hAnsi="Verdana"/>
                <w:b/>
                <w:sz w:val="16"/>
                <w:szCs w:val="16"/>
              </w:rPr>
              <w:tab/>
            </w:r>
            <w:r w:rsidRPr="00837D4A">
              <w:rPr>
                <w:rFonts w:ascii="Verdana" w:hAnsi="Verdana"/>
                <w:sz w:val="16"/>
                <w:szCs w:val="16"/>
              </w:rPr>
              <w:t>El análisis de riesgos técnicos para el caso de adquisición de datos en campo;</w:t>
            </w:r>
          </w:p>
        </w:tc>
        <w:tc>
          <w:tcPr>
            <w:tcW w:w="4649" w:type="dxa"/>
          </w:tcPr>
          <w:p w14:paraId="1D02D6D9" w14:textId="1207ED73"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The analysis of technical risks for the case of data acquisition in the field;</w:t>
            </w:r>
          </w:p>
        </w:tc>
      </w:tr>
      <w:tr w:rsidR="009849AC" w:rsidRPr="002314E3" w14:paraId="25F675C2" w14:textId="10F8F3D7" w:rsidTr="00F867DE">
        <w:tc>
          <w:tcPr>
            <w:tcW w:w="4711" w:type="dxa"/>
          </w:tcPr>
          <w:p w14:paraId="69F98F2C" w14:textId="77777777" w:rsidR="009849AC" w:rsidRPr="00837D4A" w:rsidRDefault="009849AC" w:rsidP="009849AC">
            <w:pPr>
              <w:pStyle w:val="Texto"/>
              <w:spacing w:line="236" w:lineRule="exact"/>
              <w:ind w:firstLine="0"/>
              <w:rPr>
                <w:rFonts w:ascii="Verdana" w:hAnsi="Verdana"/>
                <w:b/>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El programa de entrega de datos de campo, procesados, reprocesados y sus interpretaciones, según sea el caso;</w:t>
            </w:r>
          </w:p>
        </w:tc>
        <w:tc>
          <w:tcPr>
            <w:tcW w:w="4649" w:type="dxa"/>
          </w:tcPr>
          <w:p w14:paraId="39AF2AA4" w14:textId="552D051B"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The program for delivering field data, processed, reprocessed and their interpretations, as the case may be;</w:t>
            </w:r>
          </w:p>
        </w:tc>
      </w:tr>
      <w:tr w:rsidR="009849AC" w:rsidRPr="002314E3" w14:paraId="3F4FF8D5" w14:textId="10039D83" w:rsidTr="00F867DE">
        <w:tc>
          <w:tcPr>
            <w:tcW w:w="4711" w:type="dxa"/>
          </w:tcPr>
          <w:p w14:paraId="7B106718"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IX.</w:t>
            </w:r>
            <w:r w:rsidRPr="00837D4A">
              <w:rPr>
                <w:rFonts w:ascii="Verdana" w:hAnsi="Verdana"/>
                <w:b/>
                <w:sz w:val="16"/>
                <w:szCs w:val="16"/>
              </w:rPr>
              <w:tab/>
            </w:r>
            <w:r w:rsidRPr="00837D4A">
              <w:rPr>
                <w:rFonts w:ascii="Verdana" w:hAnsi="Verdana"/>
                <w:sz w:val="16"/>
                <w:szCs w:val="16"/>
              </w:rPr>
              <w:t>Comprobante de pago de derechos o aprovechamientos respectivos, y</w:t>
            </w:r>
          </w:p>
        </w:tc>
        <w:tc>
          <w:tcPr>
            <w:tcW w:w="4649" w:type="dxa"/>
          </w:tcPr>
          <w:p w14:paraId="75BE6C73" w14:textId="3B29BCB8"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Proof of payment of respective rights or benefits, and</w:t>
            </w:r>
          </w:p>
        </w:tc>
      </w:tr>
      <w:tr w:rsidR="009849AC" w:rsidRPr="002314E3" w14:paraId="66EE8539" w14:textId="25536B05" w:rsidTr="00F867DE">
        <w:tc>
          <w:tcPr>
            <w:tcW w:w="4711" w:type="dxa"/>
          </w:tcPr>
          <w:p w14:paraId="7A09D99E"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X.</w:t>
            </w:r>
            <w:r w:rsidRPr="00837D4A">
              <w:rPr>
                <w:rFonts w:ascii="Verdana" w:hAnsi="Verdana"/>
                <w:b/>
                <w:sz w:val="16"/>
                <w:szCs w:val="16"/>
              </w:rPr>
              <w:tab/>
            </w:r>
            <w:r w:rsidRPr="00837D4A">
              <w:rPr>
                <w:rFonts w:ascii="Verdana" w:hAnsi="Verdana"/>
                <w:sz w:val="16"/>
                <w:szCs w:val="16"/>
              </w:rPr>
              <w:t>La demás información o documentación que se prevea en la Normatividad que emita la Secretaría.</w:t>
            </w:r>
          </w:p>
        </w:tc>
        <w:tc>
          <w:tcPr>
            <w:tcW w:w="4649" w:type="dxa"/>
          </w:tcPr>
          <w:p w14:paraId="0C3D6062" w14:textId="0C733690"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X. </w:t>
            </w:r>
            <w:r w:rsidRPr="00837D4A">
              <w:rPr>
                <w:rFonts w:ascii="Verdana" w:hAnsi="Verdana"/>
                <w:b/>
                <w:sz w:val="16"/>
                <w:szCs w:val="16"/>
                <w:lang w:val="en-US"/>
              </w:rPr>
              <w:tab/>
            </w:r>
            <w:r w:rsidRPr="00837D4A">
              <w:rPr>
                <w:rFonts w:ascii="Verdana" w:hAnsi="Verdana"/>
                <w:sz w:val="16"/>
                <w:szCs w:val="16"/>
                <w:lang w:val="en-US"/>
              </w:rPr>
              <w:t>Other information or documentation provided for in the legislation issued by the Secretary.</w:t>
            </w:r>
          </w:p>
        </w:tc>
      </w:tr>
      <w:tr w:rsidR="009849AC" w:rsidRPr="002314E3" w14:paraId="441103B4" w14:textId="29A7409B" w:rsidTr="00F867DE">
        <w:tc>
          <w:tcPr>
            <w:tcW w:w="4711" w:type="dxa"/>
          </w:tcPr>
          <w:p w14:paraId="6779BB3D"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b/>
                <w:sz w:val="16"/>
                <w:szCs w:val="16"/>
              </w:rPr>
              <w:t>Artículo 8.</w:t>
            </w:r>
            <w:r w:rsidRPr="00837D4A">
              <w:rPr>
                <w:rFonts w:ascii="Verdana" w:hAnsi="Verdana"/>
                <w:sz w:val="16"/>
                <w:szCs w:val="16"/>
              </w:rPr>
              <w:t xml:space="preserve"> El aviso a que se refiere el artículo 65, tercer párrafo de la Ley se debe sujetar a la Normatividad que al efecto emita la Secretaría y debe incluir lo previsto en las fracciones III a VIII y X del artículo anterior.</w:t>
            </w:r>
          </w:p>
        </w:tc>
        <w:tc>
          <w:tcPr>
            <w:tcW w:w="4649" w:type="dxa"/>
          </w:tcPr>
          <w:p w14:paraId="10664C35" w14:textId="07D1F950" w:rsidR="009849AC" w:rsidRPr="00837D4A" w:rsidRDefault="009849AC" w:rsidP="009849AC">
            <w:pPr>
              <w:pStyle w:val="Texto"/>
              <w:spacing w:after="94"/>
              <w:ind w:firstLine="0"/>
              <w:rPr>
                <w:rFonts w:ascii="Verdana" w:hAnsi="Verdana"/>
                <w:b/>
                <w:sz w:val="16"/>
                <w:szCs w:val="16"/>
                <w:lang w:val="en-US"/>
              </w:rPr>
            </w:pPr>
            <w:r w:rsidRPr="00837D4A">
              <w:rPr>
                <w:rFonts w:ascii="Verdana" w:hAnsi="Verdana"/>
                <w:b/>
                <w:sz w:val="16"/>
                <w:szCs w:val="16"/>
                <w:lang w:val="en-US"/>
              </w:rPr>
              <w:t xml:space="preserve">Article 8. </w:t>
            </w:r>
            <w:r w:rsidRPr="00837D4A">
              <w:rPr>
                <w:rFonts w:ascii="Verdana" w:hAnsi="Verdana"/>
                <w:sz w:val="16"/>
                <w:szCs w:val="16"/>
                <w:lang w:val="en-US"/>
              </w:rPr>
              <w:t>The notice referred to in Article 65, third paragraph of the Law must be subject to the Legislation issued for this purpose by the Secretary and must include the provisions of sections III to VIII and X of the preceding article.</w:t>
            </w:r>
          </w:p>
        </w:tc>
      </w:tr>
      <w:tr w:rsidR="009849AC" w:rsidRPr="002314E3" w14:paraId="1E6EF6BF" w14:textId="3F86552F" w:rsidTr="00F867DE">
        <w:tc>
          <w:tcPr>
            <w:tcW w:w="4711" w:type="dxa"/>
          </w:tcPr>
          <w:p w14:paraId="5BC7E37C"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b/>
                <w:sz w:val="16"/>
                <w:szCs w:val="16"/>
              </w:rPr>
              <w:t>Artículo 9.</w:t>
            </w:r>
            <w:r w:rsidRPr="00837D4A">
              <w:rPr>
                <w:rFonts w:ascii="Verdana" w:hAnsi="Verdana"/>
                <w:sz w:val="16"/>
                <w:szCs w:val="16"/>
              </w:rPr>
              <w:t xml:space="preserve"> Para el caso de las autorizaciones a que hace referencia el artículo 65 de la Ley, la Secretaría cuenta con un plazo máximo de veinticinco días hábiles para resolver sobre la solicitud de autorización, contado a partir de que reciba la información necesaria conforme a los requisitos establecidos en la Normatividad que para el efecto emita la Secretaría.</w:t>
            </w:r>
          </w:p>
        </w:tc>
        <w:tc>
          <w:tcPr>
            <w:tcW w:w="4649" w:type="dxa"/>
          </w:tcPr>
          <w:p w14:paraId="1F7ED44D" w14:textId="3712CAC5" w:rsidR="009849AC" w:rsidRPr="00837D4A" w:rsidRDefault="009849AC" w:rsidP="009849AC">
            <w:pPr>
              <w:pStyle w:val="Texto"/>
              <w:spacing w:after="94"/>
              <w:ind w:firstLine="0"/>
              <w:rPr>
                <w:rFonts w:ascii="Verdana" w:hAnsi="Verdana"/>
                <w:b/>
                <w:sz w:val="16"/>
                <w:szCs w:val="16"/>
                <w:lang w:val="en-US"/>
              </w:rPr>
            </w:pPr>
            <w:r w:rsidRPr="00837D4A">
              <w:rPr>
                <w:rFonts w:ascii="Verdana" w:hAnsi="Verdana"/>
                <w:b/>
                <w:sz w:val="16"/>
                <w:szCs w:val="16"/>
                <w:lang w:val="en-US"/>
              </w:rPr>
              <w:t xml:space="preserve">Article 9. </w:t>
            </w:r>
            <w:r w:rsidRPr="00837D4A">
              <w:rPr>
                <w:rFonts w:ascii="Verdana" w:hAnsi="Verdana"/>
                <w:sz w:val="16"/>
                <w:szCs w:val="16"/>
                <w:lang w:val="en-US"/>
              </w:rPr>
              <w:t>In the case of authorizations referred to in Article 65 of the Law, the Secretary has a maximum period of twenty-five business days to resolve the authorization request, counted from the date it receives the necessary information in accordance with the requirements established in the Legislation issued by the Secretary for this purpose.</w:t>
            </w:r>
          </w:p>
        </w:tc>
      </w:tr>
      <w:tr w:rsidR="009849AC" w:rsidRPr="002314E3" w14:paraId="79DFB480" w14:textId="5FA35AD9" w:rsidTr="00F867DE">
        <w:tc>
          <w:tcPr>
            <w:tcW w:w="4711" w:type="dxa"/>
          </w:tcPr>
          <w:p w14:paraId="21FCCA0A"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sz w:val="16"/>
                <w:szCs w:val="16"/>
              </w:rPr>
              <w:t>Si transcurrido dicho plazo, la Secretaría no emite una resolución, la autorización se entiende otorgada en sentido favorable, conforme a lo previsto en la Ley.</w:t>
            </w:r>
          </w:p>
        </w:tc>
        <w:tc>
          <w:tcPr>
            <w:tcW w:w="4649" w:type="dxa"/>
          </w:tcPr>
          <w:p w14:paraId="18E11E9C" w14:textId="3590AD82" w:rsidR="009849AC" w:rsidRPr="00837D4A" w:rsidRDefault="009849AC" w:rsidP="009849AC">
            <w:pPr>
              <w:pStyle w:val="Texto"/>
              <w:spacing w:after="94"/>
              <w:ind w:firstLine="0"/>
              <w:rPr>
                <w:rFonts w:ascii="Verdana" w:hAnsi="Verdana"/>
                <w:sz w:val="16"/>
                <w:szCs w:val="16"/>
                <w:lang w:val="en-US"/>
              </w:rPr>
            </w:pPr>
            <w:r w:rsidRPr="00837D4A">
              <w:rPr>
                <w:rFonts w:ascii="Verdana" w:hAnsi="Verdana"/>
                <w:sz w:val="16"/>
                <w:szCs w:val="16"/>
                <w:lang w:val="en-US"/>
              </w:rPr>
              <w:t>If the Secretary does not issue a resolution after this period, the authorization is deemed to have been granted in a favorable manner, in accordance with the provisions of the Law.</w:t>
            </w:r>
          </w:p>
        </w:tc>
      </w:tr>
      <w:tr w:rsidR="009849AC" w:rsidRPr="002314E3" w14:paraId="60999C1F" w14:textId="0F60101B" w:rsidTr="00F867DE">
        <w:tc>
          <w:tcPr>
            <w:tcW w:w="4711" w:type="dxa"/>
          </w:tcPr>
          <w:p w14:paraId="161C8EA9"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b/>
                <w:sz w:val="16"/>
                <w:szCs w:val="16"/>
              </w:rPr>
              <w:t>Artículo 10.</w:t>
            </w:r>
            <w:r w:rsidRPr="00837D4A">
              <w:rPr>
                <w:rFonts w:ascii="Verdana" w:hAnsi="Verdana"/>
                <w:sz w:val="16"/>
                <w:szCs w:val="16"/>
              </w:rPr>
              <w:t xml:space="preserve"> Las personas Autorizadas en términos del artículo 65 de la Ley deben iniciar las actividades dentro de un plazo máximo de ciento ochenta días naturales conforme a lo establecido en el artículo 67, fracción I de la Ley.</w:t>
            </w:r>
          </w:p>
        </w:tc>
        <w:tc>
          <w:tcPr>
            <w:tcW w:w="4649" w:type="dxa"/>
          </w:tcPr>
          <w:p w14:paraId="73568F95" w14:textId="784E000C" w:rsidR="009849AC" w:rsidRPr="00837D4A" w:rsidRDefault="009849AC" w:rsidP="009849AC">
            <w:pPr>
              <w:pStyle w:val="Texto"/>
              <w:spacing w:after="94"/>
              <w:ind w:firstLine="0"/>
              <w:rPr>
                <w:rFonts w:ascii="Verdana" w:hAnsi="Verdana"/>
                <w:b/>
                <w:sz w:val="16"/>
                <w:szCs w:val="16"/>
                <w:lang w:val="en-US"/>
              </w:rPr>
            </w:pPr>
            <w:r w:rsidRPr="00837D4A">
              <w:rPr>
                <w:rFonts w:ascii="Verdana" w:hAnsi="Verdana"/>
                <w:b/>
                <w:sz w:val="16"/>
                <w:szCs w:val="16"/>
                <w:lang w:val="en-US"/>
              </w:rPr>
              <w:t xml:space="preserve">Article 10. </w:t>
            </w:r>
            <w:r w:rsidRPr="00837D4A">
              <w:rPr>
                <w:rFonts w:ascii="Verdana" w:hAnsi="Verdana"/>
                <w:sz w:val="16"/>
                <w:szCs w:val="16"/>
                <w:lang w:val="en-US"/>
              </w:rPr>
              <w:t>Authorized persons in terms of article 65 of the Law must begin activities within a maximum period of one hundred and eighty calendar days in accordance with the provisions of article 67, section I of the Law.</w:t>
            </w:r>
          </w:p>
        </w:tc>
      </w:tr>
      <w:tr w:rsidR="009849AC" w:rsidRPr="002314E3" w14:paraId="2DE2380F" w14:textId="5ACF34AC" w:rsidTr="00F867DE">
        <w:tc>
          <w:tcPr>
            <w:tcW w:w="4711" w:type="dxa"/>
          </w:tcPr>
          <w:p w14:paraId="000729FB"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sz w:val="16"/>
                <w:szCs w:val="16"/>
              </w:rPr>
              <w:t>La Secretaría puede, por única ocasión, autorizar una prórroga para el inicio del ejercicio de los derechos conferidos en la autorización hasta por la mitad del plazo originalmente otorgado.</w:t>
            </w:r>
          </w:p>
        </w:tc>
        <w:tc>
          <w:tcPr>
            <w:tcW w:w="4649" w:type="dxa"/>
          </w:tcPr>
          <w:p w14:paraId="5A2499E7" w14:textId="313650F2" w:rsidR="009849AC" w:rsidRPr="00837D4A" w:rsidRDefault="009849AC" w:rsidP="009849AC">
            <w:pPr>
              <w:pStyle w:val="Texto"/>
              <w:spacing w:after="94"/>
              <w:ind w:firstLine="0"/>
              <w:rPr>
                <w:rFonts w:ascii="Verdana" w:hAnsi="Verdana"/>
                <w:sz w:val="16"/>
                <w:szCs w:val="16"/>
                <w:lang w:val="en-US"/>
              </w:rPr>
            </w:pPr>
            <w:r w:rsidRPr="00837D4A">
              <w:rPr>
                <w:rFonts w:ascii="Verdana" w:hAnsi="Verdana"/>
                <w:sz w:val="16"/>
                <w:szCs w:val="16"/>
                <w:lang w:val="en-US"/>
              </w:rPr>
              <w:t>The Secretary may, on one occasion only, authorize an extension for the commencement of the exercise of the rights conferred in the authorization for up to half of the period originally granted.</w:t>
            </w:r>
          </w:p>
        </w:tc>
      </w:tr>
      <w:tr w:rsidR="009849AC" w:rsidRPr="002314E3" w14:paraId="7CF2BDB3" w14:textId="49311094" w:rsidTr="00F867DE">
        <w:tc>
          <w:tcPr>
            <w:tcW w:w="4711" w:type="dxa"/>
          </w:tcPr>
          <w:p w14:paraId="5A8D61EE"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sz w:val="16"/>
                <w:szCs w:val="16"/>
              </w:rPr>
              <w:t>Para tal efecto, las personas Autorizadas deben realizar la solicitud de prórroga a que hace referencia el presente artículo, con al menos veinticinco días naturales de anticipación al vencimiento del plazo originalmente otorgado, y señalar las causas que justifiquen su solicitud conforme a los requisitos que se establezcan en la Normatividad que al efecto emita la Secretaría.</w:t>
            </w:r>
          </w:p>
        </w:tc>
        <w:tc>
          <w:tcPr>
            <w:tcW w:w="4649" w:type="dxa"/>
          </w:tcPr>
          <w:p w14:paraId="7A55D98D" w14:textId="26400BE7" w:rsidR="009849AC" w:rsidRPr="00837D4A" w:rsidRDefault="009849AC" w:rsidP="009849AC">
            <w:pPr>
              <w:pStyle w:val="Texto"/>
              <w:spacing w:after="94"/>
              <w:ind w:firstLine="0"/>
              <w:rPr>
                <w:rFonts w:ascii="Verdana" w:hAnsi="Verdana"/>
                <w:sz w:val="16"/>
                <w:szCs w:val="16"/>
                <w:lang w:val="en-US"/>
              </w:rPr>
            </w:pPr>
            <w:r w:rsidRPr="00837D4A">
              <w:rPr>
                <w:rFonts w:ascii="Verdana" w:hAnsi="Verdana"/>
                <w:sz w:val="16"/>
                <w:szCs w:val="16"/>
                <w:lang w:val="en-US"/>
              </w:rPr>
              <w:t>For this purpose, authorized persons must submit the request for extension referred to in this article at least twenty-five calendar days prior to the expiration of the originally granted period, and state the reasons justifying their request in accordance with the requirements established in the Legislation issued for this purpose by the Secretary.</w:t>
            </w:r>
          </w:p>
        </w:tc>
      </w:tr>
      <w:tr w:rsidR="009849AC" w:rsidRPr="002314E3" w14:paraId="356350BB" w14:textId="4A87E39E" w:rsidTr="00F867DE">
        <w:tc>
          <w:tcPr>
            <w:tcW w:w="4711" w:type="dxa"/>
          </w:tcPr>
          <w:p w14:paraId="07647EDB"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sz w:val="16"/>
                <w:szCs w:val="16"/>
              </w:rPr>
              <w:t>La Secretaría debe resolver la solicitud de prórroga en un plazo no mayor a quince días hábiles contados a partir de que reciba la información necesaria conforme a los requisitos establecidos en la Normatividad aplicable.</w:t>
            </w:r>
          </w:p>
        </w:tc>
        <w:tc>
          <w:tcPr>
            <w:tcW w:w="4649" w:type="dxa"/>
          </w:tcPr>
          <w:p w14:paraId="5A3405BB" w14:textId="74BBE627" w:rsidR="009849AC" w:rsidRPr="00837D4A" w:rsidRDefault="009849AC" w:rsidP="009849AC">
            <w:pPr>
              <w:pStyle w:val="Texto"/>
              <w:spacing w:after="94"/>
              <w:ind w:firstLine="0"/>
              <w:rPr>
                <w:rFonts w:ascii="Verdana" w:hAnsi="Verdana"/>
                <w:sz w:val="16"/>
                <w:szCs w:val="16"/>
                <w:lang w:val="en-US"/>
              </w:rPr>
            </w:pPr>
            <w:r w:rsidRPr="00837D4A">
              <w:rPr>
                <w:rFonts w:ascii="Verdana" w:hAnsi="Verdana"/>
                <w:sz w:val="16"/>
                <w:szCs w:val="16"/>
                <w:lang w:val="en-US"/>
              </w:rPr>
              <w:t>The Secretary must resolve the extension request within a period of no more than fifteen business days from the date it receives the necessary information in accordance with the requirements established in the applicable legislation.</w:t>
            </w:r>
          </w:p>
        </w:tc>
      </w:tr>
      <w:tr w:rsidR="009849AC" w:rsidRPr="002314E3" w14:paraId="74CE8BA1" w14:textId="18CCAEE7" w:rsidTr="00F867DE">
        <w:tc>
          <w:tcPr>
            <w:tcW w:w="4711" w:type="dxa"/>
          </w:tcPr>
          <w:p w14:paraId="3E1CE01D"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b/>
                <w:sz w:val="16"/>
                <w:szCs w:val="16"/>
              </w:rPr>
              <w:t>Artículo 11.</w:t>
            </w:r>
            <w:r w:rsidRPr="00837D4A">
              <w:rPr>
                <w:rFonts w:ascii="Verdana" w:hAnsi="Verdana"/>
                <w:sz w:val="16"/>
                <w:szCs w:val="16"/>
              </w:rPr>
              <w:t xml:space="preserve"> Para efectos del artículo 62 de la Ley se entiende que Petróleos Mexicanos, otras entidades públicas, incluidos los institutos sectorizados, instituciones académicas o cualquier otra persona Particular, pueden realizar las actividades de Reconocimiento y Exploración Superficial, a partir de la </w:t>
            </w:r>
            <w:r w:rsidRPr="00837D4A">
              <w:rPr>
                <w:rFonts w:ascii="Verdana" w:hAnsi="Verdana"/>
                <w:sz w:val="16"/>
                <w:szCs w:val="16"/>
              </w:rPr>
              <w:lastRenderedPageBreak/>
              <w:t>suscripción del contrato correspondiente con la Secretaría.</w:t>
            </w:r>
          </w:p>
        </w:tc>
        <w:tc>
          <w:tcPr>
            <w:tcW w:w="4649" w:type="dxa"/>
          </w:tcPr>
          <w:p w14:paraId="7F5E90D5" w14:textId="46B1ED3C" w:rsidR="009849AC" w:rsidRPr="00837D4A" w:rsidRDefault="009849AC" w:rsidP="009849AC">
            <w:pPr>
              <w:pStyle w:val="Texto"/>
              <w:spacing w:after="94"/>
              <w:ind w:firstLine="0"/>
              <w:rPr>
                <w:rFonts w:ascii="Verdana" w:hAnsi="Verdana"/>
                <w:b/>
                <w:sz w:val="16"/>
                <w:szCs w:val="16"/>
                <w:lang w:val="en-US"/>
              </w:rPr>
            </w:pPr>
            <w:r w:rsidRPr="00837D4A">
              <w:rPr>
                <w:rFonts w:ascii="Verdana" w:hAnsi="Verdana"/>
                <w:b/>
                <w:sz w:val="16"/>
                <w:szCs w:val="16"/>
                <w:lang w:val="en-US"/>
              </w:rPr>
              <w:lastRenderedPageBreak/>
              <w:t xml:space="preserve">Article 11. </w:t>
            </w:r>
            <w:r w:rsidRPr="00837D4A">
              <w:rPr>
                <w:rFonts w:ascii="Verdana" w:hAnsi="Verdana"/>
                <w:sz w:val="16"/>
                <w:szCs w:val="16"/>
                <w:lang w:val="en-US"/>
              </w:rPr>
              <w:t>For the purposes of Article 62 of the Law, it is understood that Petróleos Mexicanos, other public entities, including sectorized institutes, academic institutions or any other private person, may carry out surface reconnaissance and exploration activities, from the signing of the corresponding contract with the Secretary.</w:t>
            </w:r>
          </w:p>
        </w:tc>
      </w:tr>
      <w:tr w:rsidR="009849AC" w:rsidRPr="00D0180E" w14:paraId="5EF52016" w14:textId="69E72F11" w:rsidTr="00F867DE">
        <w:tc>
          <w:tcPr>
            <w:tcW w:w="4711" w:type="dxa"/>
          </w:tcPr>
          <w:p w14:paraId="32CF8A30" w14:textId="77777777" w:rsidR="009849AC" w:rsidRPr="00837D4A" w:rsidRDefault="009849AC" w:rsidP="009849AC">
            <w:pPr>
              <w:pStyle w:val="Texto"/>
              <w:spacing w:after="94"/>
              <w:ind w:firstLine="0"/>
              <w:jc w:val="center"/>
              <w:rPr>
                <w:rFonts w:ascii="Verdana" w:hAnsi="Verdana"/>
                <w:b/>
                <w:sz w:val="16"/>
                <w:szCs w:val="16"/>
              </w:rPr>
            </w:pPr>
            <w:bookmarkStart w:id="1" w:name="N_Hlk205405182"/>
            <w:r w:rsidRPr="00837D4A">
              <w:rPr>
                <w:rFonts w:ascii="Verdana" w:hAnsi="Verdana"/>
                <w:b/>
                <w:sz w:val="16"/>
                <w:szCs w:val="16"/>
              </w:rPr>
              <w:t>Capítulo II</w:t>
            </w:r>
          </w:p>
        </w:tc>
        <w:tc>
          <w:tcPr>
            <w:tcW w:w="4649" w:type="dxa"/>
          </w:tcPr>
          <w:p w14:paraId="65058A65" w14:textId="0068F37C" w:rsidR="009849AC" w:rsidRPr="00837D4A" w:rsidRDefault="009849AC" w:rsidP="009849AC">
            <w:pPr>
              <w:pStyle w:val="Texto"/>
              <w:spacing w:after="94"/>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II</w:t>
            </w:r>
          </w:p>
        </w:tc>
      </w:tr>
      <w:tr w:rsidR="009849AC" w:rsidRPr="002314E3" w14:paraId="4152B7DD" w14:textId="209B4220" w:rsidTr="00F867DE">
        <w:tc>
          <w:tcPr>
            <w:tcW w:w="4711" w:type="dxa"/>
          </w:tcPr>
          <w:p w14:paraId="7CDCE539" w14:textId="77777777" w:rsidR="009849AC" w:rsidRPr="00837D4A" w:rsidRDefault="009849AC" w:rsidP="009849AC">
            <w:pPr>
              <w:pStyle w:val="Texto"/>
              <w:spacing w:after="94"/>
              <w:ind w:firstLine="0"/>
              <w:jc w:val="center"/>
              <w:rPr>
                <w:rFonts w:ascii="Verdana" w:hAnsi="Verdana"/>
                <w:b/>
                <w:sz w:val="16"/>
                <w:szCs w:val="16"/>
              </w:rPr>
            </w:pPr>
            <w:r w:rsidRPr="00837D4A">
              <w:rPr>
                <w:rFonts w:ascii="Verdana" w:hAnsi="Verdana"/>
                <w:b/>
                <w:sz w:val="16"/>
                <w:szCs w:val="16"/>
              </w:rPr>
              <w:t>Disposiciones Generales de las Asignaciones para Desarrollo Propio y Asignaciones para Desarrollo Mixto</w:t>
            </w:r>
          </w:p>
        </w:tc>
        <w:tc>
          <w:tcPr>
            <w:tcW w:w="4649" w:type="dxa"/>
          </w:tcPr>
          <w:p w14:paraId="7F447BA5" w14:textId="5750AD65" w:rsidR="009849AC" w:rsidRPr="00837D4A" w:rsidRDefault="009849AC" w:rsidP="009849AC">
            <w:pPr>
              <w:pStyle w:val="Texto"/>
              <w:spacing w:after="94"/>
              <w:ind w:firstLine="0"/>
              <w:jc w:val="center"/>
              <w:rPr>
                <w:rFonts w:ascii="Verdana" w:hAnsi="Verdana"/>
                <w:b/>
                <w:sz w:val="16"/>
                <w:szCs w:val="16"/>
                <w:lang w:val="en-US"/>
              </w:rPr>
            </w:pPr>
            <w:r w:rsidRPr="00837D4A">
              <w:rPr>
                <w:rFonts w:ascii="Verdana" w:hAnsi="Verdana"/>
                <w:b/>
                <w:sz w:val="16"/>
                <w:szCs w:val="16"/>
                <w:lang w:val="en-US"/>
              </w:rPr>
              <w:t xml:space="preserve">General Provisions of Assignments for </w:t>
            </w:r>
            <w:proofErr w:type="spellStart"/>
            <w:r w:rsidRPr="00837D4A">
              <w:rPr>
                <w:rFonts w:ascii="Verdana" w:hAnsi="Verdana"/>
                <w:b/>
                <w:sz w:val="16"/>
                <w:szCs w:val="16"/>
                <w:lang w:val="en-US"/>
              </w:rPr>
              <w:t>Self Development</w:t>
            </w:r>
            <w:proofErr w:type="spellEnd"/>
            <w:r w:rsidRPr="00837D4A">
              <w:rPr>
                <w:rFonts w:ascii="Verdana" w:hAnsi="Verdana"/>
                <w:b/>
                <w:sz w:val="16"/>
                <w:szCs w:val="16"/>
                <w:lang w:val="en-US"/>
              </w:rPr>
              <w:t xml:space="preserve"> and Assignments for Mixed Development</w:t>
            </w:r>
          </w:p>
        </w:tc>
      </w:tr>
      <w:tr w:rsidR="009849AC" w:rsidRPr="002314E3" w14:paraId="3184A597" w14:textId="014867B9" w:rsidTr="00F867DE">
        <w:tc>
          <w:tcPr>
            <w:tcW w:w="4711" w:type="dxa"/>
          </w:tcPr>
          <w:p w14:paraId="1D647261"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b/>
                <w:sz w:val="16"/>
                <w:szCs w:val="16"/>
              </w:rPr>
              <w:t>Artículo 12.</w:t>
            </w:r>
            <w:r w:rsidRPr="00837D4A">
              <w:rPr>
                <w:rFonts w:ascii="Verdana" w:hAnsi="Verdana"/>
                <w:sz w:val="16"/>
                <w:szCs w:val="16"/>
              </w:rPr>
              <w:t xml:space="preserve"> La Secretaría debe dar seguimiento y cuantificar los Recursos Prospectivos, Recursos Contingentes y Reservas de las Áreas en posesión del Estado, con la periodicidad que la propia Secretaría determine.</w:t>
            </w:r>
          </w:p>
        </w:tc>
        <w:tc>
          <w:tcPr>
            <w:tcW w:w="4649" w:type="dxa"/>
          </w:tcPr>
          <w:p w14:paraId="51BFE492" w14:textId="4E1AA4B0" w:rsidR="009849AC" w:rsidRPr="00837D4A" w:rsidRDefault="009849AC" w:rsidP="009849AC">
            <w:pPr>
              <w:pStyle w:val="Texto"/>
              <w:spacing w:after="94"/>
              <w:ind w:firstLine="0"/>
              <w:rPr>
                <w:rFonts w:ascii="Verdana" w:hAnsi="Verdana"/>
                <w:b/>
                <w:sz w:val="16"/>
                <w:szCs w:val="16"/>
                <w:lang w:val="en-US"/>
              </w:rPr>
            </w:pPr>
            <w:r w:rsidRPr="00837D4A">
              <w:rPr>
                <w:rFonts w:ascii="Verdana" w:hAnsi="Verdana"/>
                <w:b/>
                <w:sz w:val="16"/>
                <w:szCs w:val="16"/>
                <w:lang w:val="en-US"/>
              </w:rPr>
              <w:t xml:space="preserve">Article 12. </w:t>
            </w:r>
            <w:r w:rsidRPr="00837D4A">
              <w:rPr>
                <w:rFonts w:ascii="Verdana" w:hAnsi="Verdana"/>
                <w:sz w:val="16"/>
                <w:szCs w:val="16"/>
                <w:lang w:val="en-US"/>
              </w:rPr>
              <w:t>The Secretary must monitor and quantify the prospective resources, contingent resources and reserves of the areas in possession of the State, with the periodicity that the Secretary itself determines.</w:t>
            </w:r>
          </w:p>
        </w:tc>
      </w:tr>
      <w:tr w:rsidR="009849AC" w:rsidRPr="002314E3" w14:paraId="25795933" w14:textId="49B09001" w:rsidTr="00F867DE">
        <w:tc>
          <w:tcPr>
            <w:tcW w:w="4711" w:type="dxa"/>
          </w:tcPr>
          <w:p w14:paraId="48D16E18"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b/>
                <w:sz w:val="16"/>
                <w:szCs w:val="16"/>
              </w:rPr>
              <w:t>Artículo 13.</w:t>
            </w:r>
            <w:r w:rsidRPr="00837D4A">
              <w:rPr>
                <w:rFonts w:ascii="Verdana" w:hAnsi="Verdana"/>
                <w:sz w:val="16"/>
                <w:szCs w:val="16"/>
              </w:rPr>
              <w:t xml:space="preserve"> Para determinar el Área en posesión del Estado a otorgar en una Asignación, así como los Términos Técnicos y Operativos de esta y sus modificaciones, la Secretaría debe considerar al menos la información establecida en el artículo 12 de la Ley, así como la infraestructura y pozos que en su caso existan y el estado que guardan.</w:t>
            </w:r>
          </w:p>
        </w:tc>
        <w:tc>
          <w:tcPr>
            <w:tcW w:w="4649" w:type="dxa"/>
          </w:tcPr>
          <w:p w14:paraId="159148F0" w14:textId="260CEF63" w:rsidR="009849AC" w:rsidRPr="00837D4A" w:rsidRDefault="009849AC" w:rsidP="009849AC">
            <w:pPr>
              <w:pStyle w:val="Texto"/>
              <w:spacing w:after="94"/>
              <w:ind w:firstLine="0"/>
              <w:rPr>
                <w:rFonts w:ascii="Verdana" w:hAnsi="Verdana"/>
                <w:b/>
                <w:sz w:val="16"/>
                <w:szCs w:val="16"/>
                <w:lang w:val="en-US"/>
              </w:rPr>
            </w:pPr>
            <w:r w:rsidRPr="00837D4A">
              <w:rPr>
                <w:rFonts w:ascii="Verdana" w:hAnsi="Verdana"/>
                <w:b/>
                <w:sz w:val="16"/>
                <w:szCs w:val="16"/>
                <w:lang w:val="en-US"/>
              </w:rPr>
              <w:t xml:space="preserve">Article 13. </w:t>
            </w:r>
            <w:r w:rsidRPr="00837D4A">
              <w:rPr>
                <w:rFonts w:ascii="Verdana" w:hAnsi="Verdana"/>
                <w:sz w:val="16"/>
                <w:szCs w:val="16"/>
                <w:lang w:val="en-US"/>
              </w:rPr>
              <w:t>To determine the area in possession of the State to be granted in an Assignment, as well as the Technical and Operational Terms of this and its modifications, the Secretary must consider at least the information established in Article 12 of the Law, as well as the infrastructure and wells that exist, if any, and their condition.</w:t>
            </w:r>
          </w:p>
        </w:tc>
      </w:tr>
      <w:bookmarkEnd w:id="1"/>
      <w:tr w:rsidR="009849AC" w:rsidRPr="002314E3" w14:paraId="63A76C90" w14:textId="01A7D91C" w:rsidTr="00F867DE">
        <w:tc>
          <w:tcPr>
            <w:tcW w:w="4711" w:type="dxa"/>
          </w:tcPr>
          <w:p w14:paraId="3B5FC222"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b/>
                <w:sz w:val="16"/>
                <w:szCs w:val="16"/>
              </w:rPr>
              <w:t>Artículo 14.</w:t>
            </w:r>
            <w:r w:rsidRPr="00837D4A">
              <w:rPr>
                <w:rFonts w:ascii="Verdana" w:hAnsi="Verdana"/>
                <w:sz w:val="16"/>
                <w:szCs w:val="16"/>
              </w:rPr>
              <w:t xml:space="preserve"> La Secretaría debe suscribir y notificar el título de Asignación a Petróleos Mexicanos y a la Secretaría de Hacienda y Crédito Público. Asimismo, debe notificar al Fondo Mexicano del Petróleo la suscripción del título de Asignación, para efectos del registro fiduciario, dentro de los cinco días hábiles siguientes al inicio de la vigencia de este. Lo anterior sin perjuicio del registro o gestiones que correspondan a la Secretaría.</w:t>
            </w:r>
          </w:p>
        </w:tc>
        <w:tc>
          <w:tcPr>
            <w:tcW w:w="4649" w:type="dxa"/>
          </w:tcPr>
          <w:p w14:paraId="1F40CA4F" w14:textId="3F51F020" w:rsidR="009849AC" w:rsidRPr="00837D4A" w:rsidRDefault="009849AC" w:rsidP="009849AC">
            <w:pPr>
              <w:pStyle w:val="Texto"/>
              <w:spacing w:after="94"/>
              <w:ind w:firstLine="0"/>
              <w:rPr>
                <w:rFonts w:ascii="Verdana" w:hAnsi="Verdana"/>
                <w:b/>
                <w:sz w:val="16"/>
                <w:szCs w:val="16"/>
                <w:lang w:val="en-US"/>
              </w:rPr>
            </w:pPr>
            <w:r w:rsidRPr="00837D4A">
              <w:rPr>
                <w:rFonts w:ascii="Verdana" w:hAnsi="Verdana"/>
                <w:b/>
                <w:sz w:val="16"/>
                <w:szCs w:val="16"/>
                <w:lang w:val="en-US"/>
              </w:rPr>
              <w:t xml:space="preserve">Article 14. </w:t>
            </w:r>
            <w:r w:rsidRPr="00837D4A">
              <w:rPr>
                <w:rFonts w:ascii="Verdana" w:hAnsi="Verdana"/>
                <w:sz w:val="16"/>
                <w:szCs w:val="16"/>
                <w:lang w:val="en-US"/>
              </w:rPr>
              <w:t>The Secretary must sign and notify the Assignment Title to Petróleos Mexicanos and the Secretary of Finance and Public Credit. It must also notify the Mexican Petroleum Fund of the signing of the Assignment Title, for the purposes of fiduciary registration, within five business days following the commencement of the title's validity. This is without prejudice to the registration or procedures that correspond to the Secretary.</w:t>
            </w:r>
          </w:p>
        </w:tc>
      </w:tr>
      <w:tr w:rsidR="009849AC" w:rsidRPr="002314E3" w14:paraId="0417BDCE" w14:textId="139E08F4" w:rsidTr="00F867DE">
        <w:tc>
          <w:tcPr>
            <w:tcW w:w="4711" w:type="dxa"/>
          </w:tcPr>
          <w:p w14:paraId="28FCC4D4"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b/>
                <w:sz w:val="16"/>
                <w:szCs w:val="16"/>
              </w:rPr>
              <w:t>Artículo 15.</w:t>
            </w:r>
            <w:r w:rsidRPr="00837D4A">
              <w:rPr>
                <w:rFonts w:ascii="Verdana" w:hAnsi="Verdana"/>
                <w:sz w:val="16"/>
                <w:szCs w:val="16"/>
              </w:rPr>
              <w:t xml:space="preserve"> La Secretaría puede otorgar, sustituir, modificar y revocar, así como autorizar la renuncia de Asignaciones a Petróleos Mexicanos.</w:t>
            </w:r>
          </w:p>
        </w:tc>
        <w:tc>
          <w:tcPr>
            <w:tcW w:w="4649" w:type="dxa"/>
          </w:tcPr>
          <w:p w14:paraId="30CA25DC" w14:textId="712F65D8" w:rsidR="009849AC" w:rsidRPr="00837D4A" w:rsidRDefault="009849AC" w:rsidP="009849AC">
            <w:pPr>
              <w:pStyle w:val="Texto"/>
              <w:spacing w:after="94"/>
              <w:ind w:firstLine="0"/>
              <w:rPr>
                <w:rFonts w:ascii="Verdana" w:hAnsi="Verdana"/>
                <w:b/>
                <w:sz w:val="16"/>
                <w:szCs w:val="16"/>
                <w:lang w:val="en-US"/>
              </w:rPr>
            </w:pPr>
            <w:r w:rsidRPr="00837D4A">
              <w:rPr>
                <w:rFonts w:ascii="Verdana" w:hAnsi="Verdana"/>
                <w:b/>
                <w:sz w:val="16"/>
                <w:szCs w:val="16"/>
                <w:lang w:val="en-US"/>
              </w:rPr>
              <w:t xml:space="preserve">Article 15. </w:t>
            </w:r>
            <w:r w:rsidRPr="00837D4A">
              <w:rPr>
                <w:rFonts w:ascii="Verdana" w:hAnsi="Verdana"/>
                <w:sz w:val="16"/>
                <w:szCs w:val="16"/>
                <w:lang w:val="en-US"/>
              </w:rPr>
              <w:t>The Secretary may grant, substitute, modify and revoke, as well as authorize the renunciation of Assignments to Petróleos Mexicanos.</w:t>
            </w:r>
          </w:p>
        </w:tc>
      </w:tr>
      <w:tr w:rsidR="009849AC" w:rsidRPr="00D0180E" w14:paraId="304F8E8C" w14:textId="561B475E" w:rsidTr="00F867DE">
        <w:tc>
          <w:tcPr>
            <w:tcW w:w="4711" w:type="dxa"/>
          </w:tcPr>
          <w:p w14:paraId="1DD93193" w14:textId="77777777" w:rsidR="009849AC" w:rsidRPr="00837D4A" w:rsidRDefault="009849AC" w:rsidP="009849AC">
            <w:pPr>
              <w:pStyle w:val="Texto"/>
              <w:spacing w:after="94"/>
              <w:ind w:firstLine="0"/>
              <w:jc w:val="center"/>
              <w:rPr>
                <w:rFonts w:ascii="Verdana" w:hAnsi="Verdana"/>
                <w:b/>
                <w:sz w:val="16"/>
                <w:szCs w:val="16"/>
              </w:rPr>
            </w:pPr>
            <w:bookmarkStart w:id="2" w:name="N_Hlk205405747"/>
            <w:r w:rsidRPr="00837D4A">
              <w:rPr>
                <w:rFonts w:ascii="Verdana" w:hAnsi="Verdana"/>
                <w:b/>
                <w:sz w:val="16"/>
                <w:szCs w:val="16"/>
              </w:rPr>
              <w:t>Sección Primera</w:t>
            </w:r>
          </w:p>
        </w:tc>
        <w:tc>
          <w:tcPr>
            <w:tcW w:w="4649" w:type="dxa"/>
          </w:tcPr>
          <w:p w14:paraId="6F8DCC8E" w14:textId="5EC0EE93" w:rsidR="009849AC" w:rsidRPr="00837D4A" w:rsidRDefault="009849AC" w:rsidP="009849AC">
            <w:pPr>
              <w:pStyle w:val="Texto"/>
              <w:spacing w:after="94"/>
              <w:ind w:firstLine="0"/>
              <w:jc w:val="center"/>
              <w:rPr>
                <w:rFonts w:ascii="Verdana" w:hAnsi="Verdana"/>
                <w:b/>
                <w:sz w:val="16"/>
                <w:szCs w:val="16"/>
                <w:lang w:val="en-US"/>
              </w:rPr>
            </w:pPr>
            <w:proofErr w:type="spellStart"/>
            <w:r w:rsidRPr="00837D4A">
              <w:rPr>
                <w:rFonts w:ascii="Verdana" w:hAnsi="Verdana"/>
                <w:b/>
                <w:sz w:val="16"/>
                <w:szCs w:val="16"/>
              </w:rPr>
              <w:t>First</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0513DC" w14:paraId="17F129CE" w14:textId="2DED5F38" w:rsidTr="00F867DE">
        <w:tc>
          <w:tcPr>
            <w:tcW w:w="4711" w:type="dxa"/>
          </w:tcPr>
          <w:p w14:paraId="771C68E6" w14:textId="77777777" w:rsidR="009849AC" w:rsidRPr="00837D4A" w:rsidRDefault="009849AC" w:rsidP="009849AC">
            <w:pPr>
              <w:pStyle w:val="Texto"/>
              <w:spacing w:after="94"/>
              <w:ind w:firstLine="0"/>
              <w:jc w:val="center"/>
              <w:rPr>
                <w:rFonts w:ascii="Verdana" w:hAnsi="Verdana"/>
                <w:b/>
                <w:sz w:val="16"/>
                <w:szCs w:val="16"/>
              </w:rPr>
            </w:pPr>
            <w:r w:rsidRPr="00837D4A">
              <w:rPr>
                <w:rFonts w:ascii="Verdana" w:hAnsi="Verdana"/>
                <w:b/>
                <w:sz w:val="16"/>
                <w:szCs w:val="16"/>
              </w:rPr>
              <w:t>Del Otorgamiento de Asignaciones</w:t>
            </w:r>
          </w:p>
        </w:tc>
        <w:tc>
          <w:tcPr>
            <w:tcW w:w="4649" w:type="dxa"/>
          </w:tcPr>
          <w:p w14:paraId="066AB619" w14:textId="4564E172" w:rsidR="009849AC" w:rsidRPr="00837D4A" w:rsidRDefault="009849AC" w:rsidP="009849AC">
            <w:pPr>
              <w:pStyle w:val="Texto"/>
              <w:spacing w:after="94"/>
              <w:ind w:firstLine="0"/>
              <w:jc w:val="center"/>
              <w:rPr>
                <w:rFonts w:ascii="Verdana" w:hAnsi="Verdana"/>
                <w:b/>
                <w:sz w:val="16"/>
                <w:szCs w:val="16"/>
                <w:lang w:val="en-US"/>
              </w:rPr>
            </w:pPr>
            <w:r w:rsidRPr="00837D4A">
              <w:rPr>
                <w:rFonts w:ascii="Verdana" w:hAnsi="Verdana"/>
                <w:b/>
                <w:sz w:val="16"/>
                <w:szCs w:val="16"/>
                <w:lang w:val="en-US"/>
              </w:rPr>
              <w:t>Granting of Assignments</w:t>
            </w:r>
          </w:p>
        </w:tc>
      </w:tr>
      <w:tr w:rsidR="009849AC" w:rsidRPr="002314E3" w14:paraId="637E63F8" w14:textId="46D88CE3" w:rsidTr="00F867DE">
        <w:tc>
          <w:tcPr>
            <w:tcW w:w="4711" w:type="dxa"/>
          </w:tcPr>
          <w:p w14:paraId="19DD8D32"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b/>
                <w:sz w:val="16"/>
                <w:szCs w:val="16"/>
              </w:rPr>
              <w:t>Artículo 16.</w:t>
            </w:r>
            <w:r w:rsidRPr="00837D4A">
              <w:rPr>
                <w:rFonts w:ascii="Verdana" w:hAnsi="Verdana"/>
                <w:sz w:val="16"/>
                <w:szCs w:val="16"/>
              </w:rPr>
              <w:t xml:space="preserve"> En caso de que la Secretaría determine otorgar a Petróleos Mexicanos una nueva Asignación, de conformidad con el artículo 11 de la Ley, debe notificarlo a esta, para que manifieste la aceptación o rechazo de dicho otorgamiento.</w:t>
            </w:r>
          </w:p>
        </w:tc>
        <w:tc>
          <w:tcPr>
            <w:tcW w:w="4649" w:type="dxa"/>
          </w:tcPr>
          <w:p w14:paraId="7CA1B5F4" w14:textId="7953C40C" w:rsidR="009849AC" w:rsidRPr="00837D4A" w:rsidRDefault="009849AC" w:rsidP="009849AC">
            <w:pPr>
              <w:pStyle w:val="Texto"/>
              <w:spacing w:after="94"/>
              <w:ind w:firstLine="0"/>
              <w:rPr>
                <w:rFonts w:ascii="Verdana" w:hAnsi="Verdana"/>
                <w:b/>
                <w:sz w:val="16"/>
                <w:szCs w:val="16"/>
                <w:lang w:val="en-US"/>
              </w:rPr>
            </w:pPr>
            <w:r w:rsidRPr="00837D4A">
              <w:rPr>
                <w:rFonts w:ascii="Verdana" w:hAnsi="Verdana"/>
                <w:b/>
                <w:sz w:val="16"/>
                <w:szCs w:val="16"/>
                <w:lang w:val="en-US"/>
              </w:rPr>
              <w:t xml:space="preserve">Article 16. </w:t>
            </w:r>
            <w:r w:rsidRPr="00837D4A">
              <w:rPr>
                <w:rFonts w:ascii="Verdana" w:hAnsi="Verdana"/>
                <w:sz w:val="16"/>
                <w:szCs w:val="16"/>
                <w:lang w:val="en-US"/>
              </w:rPr>
              <w:t>In the event that the Secretary determines to grant Petróleos Mexicanos a new Assignment, in accordance with Article 11 of the Law, it must notify the Secretary so that it may express its acceptance or rejection of said grant.</w:t>
            </w:r>
          </w:p>
        </w:tc>
      </w:tr>
      <w:tr w:rsidR="009849AC" w:rsidRPr="002314E3" w14:paraId="36B28B5F" w14:textId="62CE5B82" w:rsidTr="00F867DE">
        <w:tc>
          <w:tcPr>
            <w:tcW w:w="4711" w:type="dxa"/>
          </w:tcPr>
          <w:p w14:paraId="02CE12C4"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sz w:val="16"/>
                <w:szCs w:val="16"/>
              </w:rPr>
              <w:t>La notificación debe incluir el Estudio de Impacto Social correspondiente al área objeto de la Asignación, acceso a la información disponible a que hacen referencia los artículos 60 y 61 de la Ley, así como lo relativo a los pozos e infraestructura existente.</w:t>
            </w:r>
          </w:p>
        </w:tc>
        <w:tc>
          <w:tcPr>
            <w:tcW w:w="4649" w:type="dxa"/>
          </w:tcPr>
          <w:p w14:paraId="21996C76" w14:textId="162CB609" w:rsidR="009849AC" w:rsidRPr="00837D4A" w:rsidRDefault="009849AC" w:rsidP="009849AC">
            <w:pPr>
              <w:pStyle w:val="Texto"/>
              <w:spacing w:after="94"/>
              <w:ind w:firstLine="0"/>
              <w:rPr>
                <w:rFonts w:ascii="Verdana" w:hAnsi="Verdana"/>
                <w:sz w:val="16"/>
                <w:szCs w:val="16"/>
                <w:lang w:val="en-US"/>
              </w:rPr>
            </w:pPr>
            <w:r w:rsidRPr="00837D4A">
              <w:rPr>
                <w:rFonts w:ascii="Verdana" w:hAnsi="Verdana"/>
                <w:sz w:val="16"/>
                <w:szCs w:val="16"/>
                <w:lang w:val="en-US"/>
              </w:rPr>
              <w:t>The notification must include the Social Impact Study for the area to be assigned, access to the available information referred to in Articles 60 and 61 of the Law, as well as information regarding existing wells and infrastructure.</w:t>
            </w:r>
          </w:p>
        </w:tc>
      </w:tr>
      <w:tr w:rsidR="009849AC" w:rsidRPr="002314E3" w14:paraId="700691C0" w14:textId="15E2A35E" w:rsidTr="00F867DE">
        <w:tc>
          <w:tcPr>
            <w:tcW w:w="4711" w:type="dxa"/>
          </w:tcPr>
          <w:p w14:paraId="7A998EC2" w14:textId="77777777" w:rsidR="009849AC" w:rsidRPr="00837D4A" w:rsidRDefault="009849AC" w:rsidP="009849AC">
            <w:pPr>
              <w:pStyle w:val="Texto"/>
              <w:spacing w:after="94"/>
              <w:ind w:firstLine="0"/>
              <w:rPr>
                <w:rFonts w:ascii="Verdana" w:hAnsi="Verdana"/>
                <w:sz w:val="16"/>
                <w:szCs w:val="16"/>
              </w:rPr>
            </w:pPr>
            <w:r w:rsidRPr="00837D4A">
              <w:rPr>
                <w:rFonts w:ascii="Verdana" w:hAnsi="Verdana"/>
                <w:sz w:val="16"/>
                <w:szCs w:val="16"/>
              </w:rPr>
              <w:t>Petróleos Mexicanos debe manifestar la aceptación o el rechazo de la Asignación en un plazo que no exceda de ciento veinte días hábiles contados a partir del día siguiente de la notificación por parte de la Secretaría, cuyo plazo puede prorrogarse a petición de parte por única ocasión. En caso de aceptación, debe indicar la modalidad de la Asignación y acreditar los requisitos previstos en el artículo 17 de este reglamento.</w:t>
            </w:r>
          </w:p>
        </w:tc>
        <w:tc>
          <w:tcPr>
            <w:tcW w:w="4649" w:type="dxa"/>
          </w:tcPr>
          <w:p w14:paraId="32A1FEFA" w14:textId="14357D77" w:rsidR="009849AC" w:rsidRPr="00837D4A" w:rsidRDefault="009849AC" w:rsidP="009849AC">
            <w:pPr>
              <w:pStyle w:val="Texto"/>
              <w:spacing w:after="94"/>
              <w:ind w:firstLine="0"/>
              <w:rPr>
                <w:rFonts w:ascii="Verdana" w:hAnsi="Verdana"/>
                <w:sz w:val="16"/>
                <w:szCs w:val="16"/>
                <w:lang w:val="en-US"/>
              </w:rPr>
            </w:pPr>
            <w:r w:rsidRPr="00837D4A">
              <w:rPr>
                <w:rFonts w:ascii="Verdana" w:hAnsi="Verdana"/>
                <w:sz w:val="16"/>
                <w:szCs w:val="16"/>
                <w:lang w:val="en-US"/>
              </w:rPr>
              <w:t>Petróleos Mexicanos must express its acceptance or rejection of the assignment within a period not to exceed one hundred and twenty business days from the day following notification by the Secretary, which period may be extended at the request of a party on a single occasion. In the event of acceptance, the Assignment modality must be indicated and the requirements set forth in Article 17 of this Regulation must be met.</w:t>
            </w:r>
          </w:p>
        </w:tc>
      </w:tr>
      <w:tr w:rsidR="009849AC" w:rsidRPr="002314E3" w14:paraId="2541C0E5" w14:textId="0BBF8EA5" w:rsidTr="00F867DE">
        <w:tc>
          <w:tcPr>
            <w:tcW w:w="4711" w:type="dxa"/>
          </w:tcPr>
          <w:p w14:paraId="47125488"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De no recibirse respuesta por parte de Petróleos Mexicanos en el plazo establecido anteriormente, esta se entiende en sentido negativo.</w:t>
            </w:r>
          </w:p>
        </w:tc>
        <w:tc>
          <w:tcPr>
            <w:tcW w:w="4649" w:type="dxa"/>
          </w:tcPr>
          <w:p w14:paraId="4ED010E7" w14:textId="732B070B"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If no response is received from Petróleos Mexicanos within the period established above, this will be understood as negative.</w:t>
            </w:r>
          </w:p>
        </w:tc>
      </w:tr>
      <w:tr w:rsidR="009849AC" w:rsidRPr="002314E3" w14:paraId="05B351F0" w14:textId="1F255A44" w:rsidTr="00F867DE">
        <w:tc>
          <w:tcPr>
            <w:tcW w:w="4711" w:type="dxa"/>
          </w:tcPr>
          <w:p w14:paraId="6691E2B6"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lastRenderedPageBreak/>
              <w:t>En el caso de que Petróleos Mexicanos decida no desarrollar el Área en posesión del Estado, la Secretaría puede decidir que su desarrollo lo realicen otras Personas Morales a través de un Contrato para la Exploración y Extracción, en cuyo caso debe sujetarse a lo previsto en la Ley y este reglamento.</w:t>
            </w:r>
            <w:bookmarkEnd w:id="2"/>
          </w:p>
        </w:tc>
        <w:tc>
          <w:tcPr>
            <w:tcW w:w="4649" w:type="dxa"/>
          </w:tcPr>
          <w:p w14:paraId="7704AF34" w14:textId="39FE620C"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In the event that Petróleos Mexicanos decides not to develop the area held by the State, the Secretary may decide that its development be carried out by other Legal Entities through an Exploration and Extraction Contract, in which case it must be subject to the provisions of the Law and this regulation.</w:t>
            </w:r>
          </w:p>
        </w:tc>
      </w:tr>
      <w:tr w:rsidR="009849AC" w:rsidRPr="002314E3" w14:paraId="00264C41" w14:textId="09C24931" w:rsidTr="00F867DE">
        <w:tc>
          <w:tcPr>
            <w:tcW w:w="4711" w:type="dxa"/>
          </w:tcPr>
          <w:p w14:paraId="4B5B144B"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 xml:space="preserve">Artículo 17. </w:t>
            </w:r>
            <w:r w:rsidRPr="00837D4A">
              <w:rPr>
                <w:rFonts w:ascii="Verdana" w:hAnsi="Verdana"/>
                <w:sz w:val="16"/>
                <w:szCs w:val="16"/>
              </w:rPr>
              <w:t>Petróleos Mexicanos puede solicitar a la Secretaría el otorgamiento de una Asignación. Dicha solicitud debe cumplir con lo previsto en los artículos 19 y 34 de este reglamento y presentar el formato autorizado por la Secretaría debidamente requisitado, con al menos la siguiente información:</w:t>
            </w:r>
          </w:p>
        </w:tc>
        <w:tc>
          <w:tcPr>
            <w:tcW w:w="4649" w:type="dxa"/>
          </w:tcPr>
          <w:p w14:paraId="7D7E9478" w14:textId="16FCE3AC"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17. </w:t>
            </w:r>
            <w:r w:rsidRPr="00837D4A">
              <w:rPr>
                <w:rFonts w:ascii="Verdana" w:hAnsi="Verdana"/>
                <w:sz w:val="16"/>
                <w:szCs w:val="16"/>
                <w:lang w:val="en-US"/>
              </w:rPr>
              <w:t>Petróleos Mexicanos may request the Secretary to grant an Assignment. Such request must comply with the provisions of Articles 19 and 34 of this Regulation and be submitted in the duly completed form authorized by the Secretary, with at least the following information:</w:t>
            </w:r>
          </w:p>
        </w:tc>
      </w:tr>
      <w:tr w:rsidR="009849AC" w:rsidRPr="002314E3" w14:paraId="5E2568CC" w14:textId="7C12BE38" w:rsidTr="00F867DE">
        <w:tc>
          <w:tcPr>
            <w:tcW w:w="4711" w:type="dxa"/>
          </w:tcPr>
          <w:p w14:paraId="58480645"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Propuesta del Área de Asignación de conformidad con la metodología que determine la Secretaría;</w:t>
            </w:r>
          </w:p>
        </w:tc>
        <w:tc>
          <w:tcPr>
            <w:tcW w:w="4649" w:type="dxa"/>
          </w:tcPr>
          <w:p w14:paraId="761869A5" w14:textId="726D532D"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Proposal of the Assignment area in accordance with the methodology determined by the Secretary;</w:t>
            </w:r>
          </w:p>
        </w:tc>
      </w:tr>
      <w:tr w:rsidR="009849AC" w:rsidRPr="00D0180E" w14:paraId="0DCBD9C5" w14:textId="2199D029" w:rsidTr="00F867DE">
        <w:tc>
          <w:tcPr>
            <w:tcW w:w="4711" w:type="dxa"/>
          </w:tcPr>
          <w:p w14:paraId="5C323944"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Modalidad de Asignación;</w:t>
            </w:r>
          </w:p>
        </w:tc>
        <w:tc>
          <w:tcPr>
            <w:tcW w:w="4649" w:type="dxa"/>
          </w:tcPr>
          <w:p w14:paraId="24D37A0E" w14:textId="4F06F3D8"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rPr>
              <w:t xml:space="preserve">II. </w:t>
            </w:r>
            <w:r w:rsidRPr="00837D4A">
              <w:rPr>
                <w:rFonts w:ascii="Verdana" w:hAnsi="Verdana"/>
                <w:b/>
                <w:sz w:val="16"/>
                <w:szCs w:val="16"/>
              </w:rPr>
              <w:tab/>
            </w:r>
            <w:proofErr w:type="spellStart"/>
            <w:r w:rsidRPr="00837D4A">
              <w:rPr>
                <w:rFonts w:ascii="Verdana" w:hAnsi="Verdana"/>
                <w:sz w:val="16"/>
                <w:szCs w:val="16"/>
              </w:rPr>
              <w:t>Assignment</w:t>
            </w:r>
            <w:proofErr w:type="spellEnd"/>
            <w:r w:rsidRPr="00837D4A">
              <w:rPr>
                <w:rFonts w:ascii="Verdana" w:hAnsi="Verdana"/>
                <w:sz w:val="16"/>
                <w:szCs w:val="16"/>
              </w:rPr>
              <w:t xml:space="preserve"> </w:t>
            </w:r>
            <w:proofErr w:type="spellStart"/>
            <w:r w:rsidRPr="00837D4A">
              <w:rPr>
                <w:rFonts w:ascii="Verdana" w:hAnsi="Verdana"/>
                <w:sz w:val="16"/>
                <w:szCs w:val="16"/>
              </w:rPr>
              <w:t>Method</w:t>
            </w:r>
            <w:proofErr w:type="spellEnd"/>
            <w:r w:rsidRPr="00837D4A">
              <w:rPr>
                <w:rFonts w:ascii="Verdana" w:hAnsi="Verdana"/>
                <w:sz w:val="16"/>
                <w:szCs w:val="16"/>
              </w:rPr>
              <w:t>;</w:t>
            </w:r>
          </w:p>
        </w:tc>
      </w:tr>
      <w:tr w:rsidR="009849AC" w:rsidRPr="002314E3" w14:paraId="7B3155BD" w14:textId="5FFE37A9" w:rsidTr="00F867DE">
        <w:tc>
          <w:tcPr>
            <w:tcW w:w="4711" w:type="dxa"/>
          </w:tcPr>
          <w:p w14:paraId="606E1BE7"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Actividad general por realizar en la Asignación;</w:t>
            </w:r>
          </w:p>
        </w:tc>
        <w:tc>
          <w:tcPr>
            <w:tcW w:w="4649" w:type="dxa"/>
          </w:tcPr>
          <w:p w14:paraId="36AA40A9" w14:textId="320B3C2C"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General activity to be carried out in the Assignment;</w:t>
            </w:r>
          </w:p>
        </w:tc>
      </w:tr>
      <w:tr w:rsidR="009849AC" w:rsidRPr="00D0180E" w14:paraId="2C830F7A" w14:textId="3C7F6D4F" w:rsidTr="00F867DE">
        <w:tc>
          <w:tcPr>
            <w:tcW w:w="4711" w:type="dxa"/>
          </w:tcPr>
          <w:p w14:paraId="2EB33849"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Vigencia;</w:t>
            </w:r>
          </w:p>
        </w:tc>
        <w:tc>
          <w:tcPr>
            <w:tcW w:w="4649" w:type="dxa"/>
          </w:tcPr>
          <w:p w14:paraId="7F914856" w14:textId="74101FC6"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rPr>
              <w:t xml:space="preserve">IV. </w:t>
            </w:r>
            <w:r w:rsidRPr="00837D4A">
              <w:rPr>
                <w:rFonts w:ascii="Verdana" w:hAnsi="Verdana"/>
                <w:b/>
                <w:sz w:val="16"/>
                <w:szCs w:val="16"/>
              </w:rPr>
              <w:tab/>
            </w:r>
            <w:proofErr w:type="spellStart"/>
            <w:r w:rsidRPr="00837D4A">
              <w:rPr>
                <w:rFonts w:ascii="Verdana" w:hAnsi="Verdana"/>
                <w:sz w:val="16"/>
                <w:szCs w:val="16"/>
              </w:rPr>
              <w:t>Validity</w:t>
            </w:r>
            <w:proofErr w:type="spellEnd"/>
            <w:r w:rsidRPr="00837D4A">
              <w:rPr>
                <w:rFonts w:ascii="Verdana" w:hAnsi="Verdana"/>
                <w:sz w:val="16"/>
                <w:szCs w:val="16"/>
              </w:rPr>
              <w:t>;</w:t>
            </w:r>
          </w:p>
        </w:tc>
      </w:tr>
      <w:tr w:rsidR="009849AC" w:rsidRPr="002314E3" w14:paraId="7A7C36A8" w14:textId="039106E1" w:rsidTr="00F867DE">
        <w:tc>
          <w:tcPr>
            <w:tcW w:w="4711" w:type="dxa"/>
          </w:tcPr>
          <w:p w14:paraId="3AF595AF"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Propuesta de Términos Técnicos y Operativos, y</w:t>
            </w:r>
          </w:p>
        </w:tc>
        <w:tc>
          <w:tcPr>
            <w:tcW w:w="4649" w:type="dxa"/>
          </w:tcPr>
          <w:p w14:paraId="6DC18E1F" w14:textId="299FED30"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Proposal of Technical and Operational Terms, and</w:t>
            </w:r>
          </w:p>
        </w:tc>
      </w:tr>
      <w:tr w:rsidR="009849AC" w:rsidRPr="002314E3" w14:paraId="4D625ED2" w14:textId="357637CB" w:rsidTr="00F867DE">
        <w:tc>
          <w:tcPr>
            <w:tcW w:w="4711" w:type="dxa"/>
          </w:tcPr>
          <w:p w14:paraId="0A49D44E"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Propuesta de porcentaje mínimo de contenido nacional.</w:t>
            </w:r>
          </w:p>
        </w:tc>
        <w:tc>
          <w:tcPr>
            <w:tcW w:w="4649" w:type="dxa"/>
          </w:tcPr>
          <w:p w14:paraId="13473C64" w14:textId="775B0075"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Proposal for minimum percentage of national content.</w:t>
            </w:r>
          </w:p>
        </w:tc>
      </w:tr>
      <w:tr w:rsidR="009849AC" w:rsidRPr="002314E3" w14:paraId="11EAFC4F" w14:textId="2EE49368" w:rsidTr="00F867DE">
        <w:tc>
          <w:tcPr>
            <w:tcW w:w="4711" w:type="dxa"/>
          </w:tcPr>
          <w:p w14:paraId="51DC77C1"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Para el caso de una solicitud de una Asignación para Desarrollo Mixto, adicional a lo anterior, debe cumplir con lo previsto en el artículo 25, fracción I de la Ley.</w:t>
            </w:r>
          </w:p>
        </w:tc>
        <w:tc>
          <w:tcPr>
            <w:tcW w:w="4649" w:type="dxa"/>
          </w:tcPr>
          <w:p w14:paraId="11F7D6C6" w14:textId="2C52C421"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In the case of a request for a Mixed Development Assignment, in addition to the above, it must comply with the provisions of Article 25, Section I of the Law.</w:t>
            </w:r>
          </w:p>
        </w:tc>
      </w:tr>
      <w:tr w:rsidR="009849AC" w:rsidRPr="002314E3" w14:paraId="2C0ACB3B" w14:textId="6BF7232C" w:rsidTr="00F867DE">
        <w:tc>
          <w:tcPr>
            <w:tcW w:w="4711" w:type="dxa"/>
          </w:tcPr>
          <w:p w14:paraId="7EDE2A54"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 xml:space="preserve">Artículo 18. </w:t>
            </w:r>
            <w:r w:rsidRPr="00837D4A">
              <w:rPr>
                <w:rFonts w:ascii="Verdana" w:hAnsi="Verdana"/>
                <w:sz w:val="16"/>
                <w:szCs w:val="16"/>
              </w:rPr>
              <w:t>La Secretaría debe resolver sobre el otorgamiento de la Asignación para Desarrollo Propio, dentro de los sesenta días hábiles siguientes a partir de la admisión de la solicitud o manifestación de aceptación por Petróleos Mexicanos.</w:t>
            </w:r>
          </w:p>
        </w:tc>
        <w:tc>
          <w:tcPr>
            <w:tcW w:w="4649" w:type="dxa"/>
          </w:tcPr>
          <w:p w14:paraId="030D4680" w14:textId="384CFB80"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18. </w:t>
            </w:r>
            <w:r w:rsidRPr="00837D4A">
              <w:rPr>
                <w:rFonts w:ascii="Verdana" w:hAnsi="Verdana"/>
                <w:sz w:val="16"/>
                <w:szCs w:val="16"/>
                <w:lang w:val="en-US"/>
              </w:rPr>
              <w:t>The Secretary must decide on the granting of the Self-Development Assignment within sixty business days following the admission of the application or expression of acceptance by Petróleos Mexicanos.</w:t>
            </w:r>
          </w:p>
        </w:tc>
      </w:tr>
      <w:tr w:rsidR="009849AC" w:rsidRPr="002314E3" w14:paraId="2C20F8E5" w14:textId="2F564530" w:rsidTr="00F867DE">
        <w:tc>
          <w:tcPr>
            <w:tcW w:w="4711" w:type="dxa"/>
          </w:tcPr>
          <w:p w14:paraId="352373DF"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Para el caso de las Asignaciones para Desarrollo Mixto, la Secretaría debe resolver dentro de los noventa días hábiles siguientes a partir de la admisión de la solicitud o manifestación de aceptación por Petróleos Mexicanos.</w:t>
            </w:r>
          </w:p>
        </w:tc>
        <w:tc>
          <w:tcPr>
            <w:tcW w:w="4649" w:type="dxa"/>
          </w:tcPr>
          <w:p w14:paraId="1BA90E1F" w14:textId="02C177E8"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In the case of Mixed Development Assignments, the Secretary must resolve within ninety business days following the admission of the application or expression of acceptance by Petróleos Mexicanos.</w:t>
            </w:r>
          </w:p>
        </w:tc>
      </w:tr>
      <w:tr w:rsidR="009849AC" w:rsidRPr="002314E3" w14:paraId="7F9626B2" w14:textId="3F8F70E9" w:rsidTr="00F867DE">
        <w:tc>
          <w:tcPr>
            <w:tcW w:w="4711" w:type="dxa"/>
          </w:tcPr>
          <w:p w14:paraId="07F93C97"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19.</w:t>
            </w:r>
            <w:r w:rsidRPr="00837D4A">
              <w:rPr>
                <w:rFonts w:ascii="Verdana" w:hAnsi="Verdana"/>
                <w:sz w:val="16"/>
                <w:szCs w:val="16"/>
              </w:rPr>
              <w:t xml:space="preserve"> La Secretaría debe resolver sobre el otorgamiento de una nueva Asignación, mediante el procedimiento siguiente:</w:t>
            </w:r>
          </w:p>
        </w:tc>
        <w:tc>
          <w:tcPr>
            <w:tcW w:w="4649" w:type="dxa"/>
          </w:tcPr>
          <w:p w14:paraId="7CEB7694" w14:textId="434F6886"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19. </w:t>
            </w:r>
            <w:r w:rsidRPr="00837D4A">
              <w:rPr>
                <w:rFonts w:ascii="Verdana" w:hAnsi="Verdana"/>
                <w:sz w:val="16"/>
                <w:szCs w:val="16"/>
                <w:lang w:val="en-US"/>
              </w:rPr>
              <w:t>The Secretary must decide on the granting of a new Assignment, through the following procedure:</w:t>
            </w:r>
          </w:p>
        </w:tc>
      </w:tr>
      <w:tr w:rsidR="009849AC" w:rsidRPr="002314E3" w14:paraId="3E5ED965" w14:textId="70310718" w:rsidTr="00F867DE">
        <w:tc>
          <w:tcPr>
            <w:tcW w:w="4711" w:type="dxa"/>
          </w:tcPr>
          <w:p w14:paraId="3E57838F"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Una vez recibida la solicitud o manifestación de aceptación por Petróleos Mexicanos, la Secretaría cuenta con un plazo máximo de diez días hábiles para, en su caso, prevenir a Petróleos Mexicanos;</w:t>
            </w:r>
          </w:p>
        </w:tc>
        <w:tc>
          <w:tcPr>
            <w:tcW w:w="4649" w:type="dxa"/>
          </w:tcPr>
          <w:p w14:paraId="23EA2353" w14:textId="67FC7B79"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Once the application or expression of acceptance has been received by Petróleos Mexicanos, the Secretary has a maximum period of ten business days to, where appropriate, notify Petróleos Mexicanos;</w:t>
            </w:r>
          </w:p>
        </w:tc>
      </w:tr>
      <w:tr w:rsidR="009849AC" w:rsidRPr="002314E3" w14:paraId="7FB4D358" w14:textId="6859E783" w:rsidTr="00F867DE">
        <w:tc>
          <w:tcPr>
            <w:tcW w:w="4711" w:type="dxa"/>
          </w:tcPr>
          <w:p w14:paraId="57C6C65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 xml:space="preserve">Petróleos Mexicanos cuenta con un plazo máximo de diez días hábiles para atender la prevención, </w:t>
            </w:r>
            <w:r w:rsidRPr="00837D4A">
              <w:rPr>
                <w:rFonts w:ascii="Verdana" w:hAnsi="Verdana"/>
                <w:sz w:val="16"/>
                <w:szCs w:val="16"/>
              </w:rPr>
              <w:lastRenderedPageBreak/>
              <w:t>el cual puede ser prorrogable hasta por cinco días hábiles por única ocasión;</w:t>
            </w:r>
          </w:p>
        </w:tc>
        <w:tc>
          <w:tcPr>
            <w:tcW w:w="4649" w:type="dxa"/>
          </w:tcPr>
          <w:p w14:paraId="5C138DEA" w14:textId="264A9F1E"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lastRenderedPageBreak/>
              <w:t xml:space="preserve">II. </w:t>
            </w:r>
            <w:r w:rsidRPr="00837D4A">
              <w:rPr>
                <w:rFonts w:ascii="Verdana" w:hAnsi="Verdana"/>
                <w:b/>
                <w:sz w:val="16"/>
                <w:szCs w:val="16"/>
                <w:lang w:val="en-US"/>
              </w:rPr>
              <w:tab/>
            </w:r>
            <w:r w:rsidRPr="00837D4A">
              <w:rPr>
                <w:rFonts w:ascii="Verdana" w:hAnsi="Verdana"/>
                <w:sz w:val="16"/>
                <w:szCs w:val="16"/>
                <w:lang w:val="en-US"/>
              </w:rPr>
              <w:t>Petróleos Mexicanos has a maximum period of ten business days to address the prevention</w:t>
            </w:r>
            <w:r w:rsidRPr="00837D4A">
              <w:rPr>
                <w:rStyle w:val="FootnoteReference"/>
                <w:rFonts w:ascii="Verdana" w:hAnsi="Verdana"/>
                <w:sz w:val="16"/>
                <w:szCs w:val="16"/>
                <w:lang w:val="en-US"/>
              </w:rPr>
              <w:footnoteReference w:id="1"/>
            </w:r>
            <w:r w:rsidRPr="00837D4A">
              <w:rPr>
                <w:rFonts w:ascii="Verdana" w:hAnsi="Verdana"/>
                <w:sz w:val="16"/>
                <w:szCs w:val="16"/>
                <w:lang w:val="en-US"/>
              </w:rPr>
              <w:t xml:space="preserve">, which </w:t>
            </w:r>
            <w:r w:rsidRPr="00837D4A">
              <w:rPr>
                <w:rFonts w:ascii="Verdana" w:hAnsi="Verdana"/>
                <w:sz w:val="16"/>
                <w:szCs w:val="16"/>
                <w:lang w:val="en-US"/>
              </w:rPr>
              <w:lastRenderedPageBreak/>
              <w:t>may be extended for up to five business days on a single occasion;</w:t>
            </w:r>
          </w:p>
        </w:tc>
      </w:tr>
      <w:tr w:rsidR="009849AC" w:rsidRPr="002314E3" w14:paraId="086EE50C" w14:textId="7538377A" w:rsidTr="00F867DE">
        <w:tc>
          <w:tcPr>
            <w:tcW w:w="4711" w:type="dxa"/>
          </w:tcPr>
          <w:p w14:paraId="571CD6F2"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 xml:space="preserve">En caso de no desahogar la prevención o no hacerlo conforme a lo solicitado, el trámite debe ser desechado. La Secretaría debe notificar a Petróleos Mexicanos el </w:t>
            </w:r>
            <w:proofErr w:type="spellStart"/>
            <w:r w:rsidRPr="00837D4A">
              <w:rPr>
                <w:rFonts w:ascii="Verdana" w:hAnsi="Verdana"/>
                <w:sz w:val="16"/>
                <w:szCs w:val="16"/>
              </w:rPr>
              <w:t>desechamiento</w:t>
            </w:r>
            <w:proofErr w:type="spellEnd"/>
            <w:r w:rsidRPr="00837D4A">
              <w:rPr>
                <w:rFonts w:ascii="Verdana" w:hAnsi="Verdana"/>
                <w:sz w:val="16"/>
                <w:szCs w:val="16"/>
              </w:rPr>
              <w:t xml:space="preserve"> del trámite en un plazo no mayor a diez días hábiles;</w:t>
            </w:r>
          </w:p>
        </w:tc>
        <w:tc>
          <w:tcPr>
            <w:tcW w:w="4649" w:type="dxa"/>
          </w:tcPr>
          <w:p w14:paraId="08B52BA0" w14:textId="627D45F7"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If the request is not addressed or is not addressed as requested, the procedure must be dismissed. The Secretary must notify Petróleos Mexicanos of the dismissal of the procedure within a period of no more than ten business days;</w:t>
            </w:r>
          </w:p>
        </w:tc>
      </w:tr>
      <w:tr w:rsidR="009849AC" w:rsidRPr="002314E3" w14:paraId="7136DED9" w14:textId="2957469C" w:rsidTr="00F867DE">
        <w:tc>
          <w:tcPr>
            <w:tcW w:w="4711" w:type="dxa"/>
          </w:tcPr>
          <w:p w14:paraId="2155BCC0"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En caso de desahogar la prevención, el trámite debe ser admitido. La Secretaría debe notificar a Petróleos Mexicanos la admisión del trámite en un plazo no mayor a diez días hábiles;</w:t>
            </w:r>
          </w:p>
        </w:tc>
        <w:tc>
          <w:tcPr>
            <w:tcW w:w="4649" w:type="dxa"/>
          </w:tcPr>
          <w:p w14:paraId="143C8BF7" w14:textId="31960377"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If the objection is resolved, the procedure must be admitted. The Secretary must notify Petróleos Mexicanos of the admission of the procedure within a period of no more than ten business days;</w:t>
            </w:r>
          </w:p>
        </w:tc>
      </w:tr>
      <w:tr w:rsidR="009849AC" w:rsidRPr="002314E3" w14:paraId="43C8B005" w14:textId="71D24C88" w:rsidTr="00F867DE">
        <w:tc>
          <w:tcPr>
            <w:tcW w:w="4711" w:type="dxa"/>
          </w:tcPr>
          <w:p w14:paraId="61102783"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En un plazo no mayor a veinte días hábiles previos al vencimiento del plazo para emitir la resolución del otorgamiento del título de Asignación, la Secretaría debe solicitar a la Secretaría de Economía su opinión, respecto a la propuesta de porcentaje de contenido nacional a incluir en la Asignación.</w:t>
            </w:r>
          </w:p>
        </w:tc>
        <w:tc>
          <w:tcPr>
            <w:tcW w:w="4649" w:type="dxa"/>
          </w:tcPr>
          <w:p w14:paraId="2BCEFA63" w14:textId="36E93994"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Within a period of no more than twenty business days prior to the expiration of the deadline for issuing the resolution granting the Assignment title, the Secretary must request the opinion of the Secretary of Economy regarding the proposed percentage of national content to be included in the Assignment.</w:t>
            </w:r>
          </w:p>
        </w:tc>
      </w:tr>
      <w:tr w:rsidR="009849AC" w:rsidRPr="002314E3" w14:paraId="2685613F" w14:textId="3E6880E8" w:rsidTr="00F867DE">
        <w:tc>
          <w:tcPr>
            <w:tcW w:w="4711" w:type="dxa"/>
          </w:tcPr>
          <w:p w14:paraId="05158B15"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La Secretaría de Economía debe emitir su opinión en un plazo no mayor a diez días hábiles, contado a partir del día siguiente de la notificación de la solicitud de opinión respecto al porcentaje de contenido nacional de la Secretaría, los cuales son prorrogables hasta por cinco días adicionales, cuando la naturaleza del asunto así lo amerite. En caso de que no emita pronunciamiento en dicho plazo, se debe entender su opinión en sentido positivo.</w:t>
            </w:r>
          </w:p>
        </w:tc>
        <w:tc>
          <w:tcPr>
            <w:tcW w:w="4649" w:type="dxa"/>
          </w:tcPr>
          <w:p w14:paraId="4A260F0F" w14:textId="10ACB93D"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The Secretary of Economy must issue its opinion within a period of no more than ten business days, counted from the day following notification of the request for an opinion regarding the percentage of national content from the Secretary. This period may be extended for up to five additional days when the nature of the matter so warrants. If it does not issue a statement within this period, its opinion should be interpreted as positive.</w:t>
            </w:r>
          </w:p>
        </w:tc>
      </w:tr>
      <w:tr w:rsidR="009849AC" w:rsidRPr="002314E3" w14:paraId="57461FBC" w14:textId="311C96EE" w:rsidTr="00F867DE">
        <w:tc>
          <w:tcPr>
            <w:tcW w:w="4711" w:type="dxa"/>
          </w:tcPr>
          <w:p w14:paraId="65F085B3"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En el caso del procedimiento de sustitución de Asignaciones, la Secretaría debe solicitar a la Secretaría de Economía su opinión sobre el porcentaje mínimo de contenido nacional, en los casos donde se presenten cambios en las actividades autorizadas o se modifique el Área de Asignación. La Secretaría de Economía cuenta con el mismo plazo señalado en el párrafo anterior, para su respuesta correspondiente;</w:t>
            </w:r>
          </w:p>
        </w:tc>
        <w:tc>
          <w:tcPr>
            <w:tcW w:w="4649" w:type="dxa"/>
          </w:tcPr>
          <w:p w14:paraId="30D6F231" w14:textId="2DB35307"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In the case of the Assignment substitution procedure, the Secretary must request the Secretary of Economy's opinion on the minimum percentage of local content in cases where there are changes in the authorized activities or the Assignment area. The Secretary of Economy has the same deadline indicated in the preceding paragraph to respond accordingly;</w:t>
            </w:r>
          </w:p>
        </w:tc>
      </w:tr>
      <w:tr w:rsidR="009849AC" w:rsidRPr="002314E3" w14:paraId="7B2ABCC1" w14:textId="41161173" w:rsidTr="00F867DE">
        <w:tc>
          <w:tcPr>
            <w:tcW w:w="4711" w:type="dxa"/>
          </w:tcPr>
          <w:p w14:paraId="383C44DE"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 Secretaría, previo a emitir la resolución del otorgamiento del título de Asignación, debe notificar a Petróleos Mexicanos el proyecto de título de Asignación para que, en un plazo no mayor a quince días hábiles contados a partir del día siguiente de la recepción de la notificación, manifieste lo que a su derecho convenga. En caso de no recibir respuesta de Petróleos Mexicanos se debe entender que está de acuerdo con los términos y condiciones técnicas y operativas del título de Asignación, y</w:t>
            </w:r>
          </w:p>
        </w:tc>
        <w:tc>
          <w:tcPr>
            <w:tcW w:w="4649" w:type="dxa"/>
          </w:tcPr>
          <w:p w14:paraId="06A845D8" w14:textId="024D3597"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Before issuing the resolution granting the Assignment title, the Secretary must notify Petróleos Mexicanos of the project of Assignment title so that, within a period of no more than fifteen business days from the day following receipt of the notification, they may state what is appropriate to their rights. If no response is received from Petróleos Mexicanos, it must be understood that it agrees with the technical and operational terms and conditions of the Assignment title, and</w:t>
            </w:r>
          </w:p>
        </w:tc>
      </w:tr>
      <w:tr w:rsidR="009849AC" w:rsidRPr="002314E3" w14:paraId="385925BA" w14:textId="008C1383" w:rsidTr="00F867DE">
        <w:tc>
          <w:tcPr>
            <w:tcW w:w="4711" w:type="dxa"/>
          </w:tcPr>
          <w:p w14:paraId="31983C96"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La Secretaría debe resolver el otorgamiento según la modalidad de Asignación de que se trate, dentro del plazo establecido en el artículo 18 de este reglamento.</w:t>
            </w:r>
          </w:p>
        </w:tc>
        <w:tc>
          <w:tcPr>
            <w:tcW w:w="4649" w:type="dxa"/>
          </w:tcPr>
          <w:p w14:paraId="18D54A3B" w14:textId="230039C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The Secretary must resolve the granting according to the Assignment modality in question, within the period established in article 18 of this regulation.</w:t>
            </w:r>
          </w:p>
        </w:tc>
      </w:tr>
      <w:tr w:rsidR="009849AC" w:rsidRPr="002314E3" w14:paraId="2CE678BE" w14:textId="498D7168" w:rsidTr="00F867DE">
        <w:tc>
          <w:tcPr>
            <w:tcW w:w="4711" w:type="dxa"/>
          </w:tcPr>
          <w:p w14:paraId="4F09253D"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lastRenderedPageBreak/>
              <w:t>En caso de que el trámite sea desechado, quedan a salvo los derechos de Petróleos Mexicanos para presentar una nueva solicitud.</w:t>
            </w:r>
          </w:p>
        </w:tc>
        <w:tc>
          <w:tcPr>
            <w:tcW w:w="4649" w:type="dxa"/>
          </w:tcPr>
          <w:p w14:paraId="52447C0F" w14:textId="41E6934A"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If the application is dismissed, Petróleos Mexicanos' right to submit a new application remains intact.</w:t>
            </w:r>
          </w:p>
        </w:tc>
      </w:tr>
      <w:tr w:rsidR="009849AC" w:rsidRPr="002314E3" w14:paraId="077679AA" w14:textId="2858225E" w:rsidTr="00F867DE">
        <w:tc>
          <w:tcPr>
            <w:tcW w:w="4711" w:type="dxa"/>
          </w:tcPr>
          <w:p w14:paraId="20B2D3DD"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Secretaría debe suscribir el título de Asignación conforme a lo establecido en el artículo 14 de la Ley.</w:t>
            </w:r>
          </w:p>
        </w:tc>
        <w:tc>
          <w:tcPr>
            <w:tcW w:w="4649" w:type="dxa"/>
          </w:tcPr>
          <w:p w14:paraId="582B3E99" w14:textId="7D4D70A6"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Secretary must sign the Assignment title in accordance with the provisions of Article 14 of the Law.</w:t>
            </w:r>
          </w:p>
        </w:tc>
      </w:tr>
      <w:tr w:rsidR="009849AC" w:rsidRPr="00D0180E" w14:paraId="3CCB4BAB" w14:textId="0E0D543E" w:rsidTr="00F867DE">
        <w:tc>
          <w:tcPr>
            <w:tcW w:w="4711" w:type="dxa"/>
          </w:tcPr>
          <w:p w14:paraId="672620F5"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30658E24" w14:textId="36D8376A" w:rsidR="009849AC" w:rsidRPr="00837D4A" w:rsidRDefault="009849AC" w:rsidP="009849AC">
            <w:pPr>
              <w:pStyle w:val="Texto"/>
              <w:ind w:firstLine="0"/>
              <w:jc w:val="center"/>
              <w:rPr>
                <w:rFonts w:ascii="Verdana" w:hAnsi="Verdana"/>
                <w:b/>
                <w:sz w:val="16"/>
                <w:szCs w:val="16"/>
                <w:lang w:val="en-US"/>
              </w:rPr>
            </w:pPr>
            <w:proofErr w:type="spellStart"/>
            <w:r w:rsidRPr="00837D4A">
              <w:rPr>
                <w:rFonts w:ascii="Verdana" w:hAnsi="Verdana"/>
                <w:b/>
                <w:sz w:val="16"/>
                <w:szCs w:val="16"/>
              </w:rPr>
              <w:t>Second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D0180E" w14:paraId="740D7352" w14:textId="430AB6B9" w:rsidTr="00F867DE">
        <w:tc>
          <w:tcPr>
            <w:tcW w:w="4711" w:type="dxa"/>
          </w:tcPr>
          <w:p w14:paraId="5E22B1D7"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De la Renuncia</w:t>
            </w:r>
          </w:p>
        </w:tc>
        <w:tc>
          <w:tcPr>
            <w:tcW w:w="4649" w:type="dxa"/>
          </w:tcPr>
          <w:p w14:paraId="0D10A12A" w14:textId="7A6B37EE" w:rsidR="009849AC" w:rsidRPr="00837D4A" w:rsidRDefault="009849AC" w:rsidP="009849AC">
            <w:pPr>
              <w:pStyle w:val="Texto"/>
              <w:ind w:firstLine="0"/>
              <w:jc w:val="center"/>
              <w:rPr>
                <w:rFonts w:ascii="Verdana" w:hAnsi="Verdana"/>
                <w:b/>
                <w:sz w:val="16"/>
                <w:szCs w:val="16"/>
                <w:lang w:val="en-US"/>
              </w:rPr>
            </w:pPr>
            <w:proofErr w:type="spellStart"/>
            <w:r w:rsidRPr="00837D4A">
              <w:rPr>
                <w:rFonts w:ascii="Verdana" w:hAnsi="Verdana"/>
                <w:b/>
                <w:sz w:val="16"/>
                <w:szCs w:val="16"/>
              </w:rPr>
              <w:t>Renunciation</w:t>
            </w:r>
            <w:proofErr w:type="spellEnd"/>
          </w:p>
        </w:tc>
      </w:tr>
      <w:tr w:rsidR="009849AC" w:rsidRPr="002314E3" w14:paraId="0ECB454C" w14:textId="52038673" w:rsidTr="00F867DE">
        <w:tc>
          <w:tcPr>
            <w:tcW w:w="4711" w:type="dxa"/>
          </w:tcPr>
          <w:p w14:paraId="430E1869"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20.</w:t>
            </w:r>
            <w:r w:rsidRPr="00837D4A">
              <w:rPr>
                <w:rFonts w:ascii="Verdana" w:hAnsi="Verdana"/>
                <w:sz w:val="16"/>
                <w:szCs w:val="16"/>
              </w:rPr>
              <w:t xml:space="preserve"> La persona Asignataria puede renunciar a una Asignación, para lo cual debe presentar a la Secretaría la solicitud correspondiente con al menos lo siguiente:</w:t>
            </w:r>
          </w:p>
        </w:tc>
        <w:tc>
          <w:tcPr>
            <w:tcW w:w="4649" w:type="dxa"/>
          </w:tcPr>
          <w:p w14:paraId="6C49BA79" w14:textId="02FEC656"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20. </w:t>
            </w:r>
            <w:r w:rsidRPr="00837D4A">
              <w:rPr>
                <w:rFonts w:ascii="Verdana" w:hAnsi="Verdana"/>
                <w:sz w:val="16"/>
                <w:szCs w:val="16"/>
                <w:lang w:val="en-US"/>
              </w:rPr>
              <w:t>The Assignee may renounce an Assignment, for which purpose he or she must submit to the Secretary the corresponding application with at least the following:</w:t>
            </w:r>
          </w:p>
        </w:tc>
      </w:tr>
      <w:tr w:rsidR="009849AC" w:rsidRPr="002314E3" w14:paraId="2F23D86B" w14:textId="6383A5D9" w:rsidTr="00F867DE">
        <w:tc>
          <w:tcPr>
            <w:tcW w:w="4711" w:type="dxa"/>
          </w:tcPr>
          <w:p w14:paraId="272E1D39"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Formato autorizado debidamente requisitado que contenga:</w:t>
            </w:r>
          </w:p>
        </w:tc>
        <w:tc>
          <w:tcPr>
            <w:tcW w:w="4649" w:type="dxa"/>
          </w:tcPr>
          <w:p w14:paraId="4C7E5344" w14:textId="6C678E12"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Authorized format duly required that contains:</w:t>
            </w:r>
          </w:p>
        </w:tc>
      </w:tr>
      <w:tr w:rsidR="009849AC" w:rsidRPr="002314E3" w14:paraId="5D4DC6A1" w14:textId="254D44F3" w:rsidTr="00F867DE">
        <w:tc>
          <w:tcPr>
            <w:tcW w:w="4711" w:type="dxa"/>
          </w:tcPr>
          <w:p w14:paraId="0D324A01"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La información técnica y económica, el inventario de activos y materiales, así como sus correspondientes valores en libros del Área de Asignación, y</w:t>
            </w:r>
          </w:p>
        </w:tc>
        <w:tc>
          <w:tcPr>
            <w:tcW w:w="4649" w:type="dxa"/>
          </w:tcPr>
          <w:p w14:paraId="205AF1AD" w14:textId="7F45814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The technical and economic information, the inventory of assets and materials, as well as their corresponding book values of the Assignment area, and</w:t>
            </w:r>
          </w:p>
        </w:tc>
      </w:tr>
      <w:tr w:rsidR="009849AC" w:rsidRPr="002314E3" w14:paraId="5B8F53F0" w14:textId="5BF633B1" w:rsidTr="00F867DE">
        <w:tc>
          <w:tcPr>
            <w:tcW w:w="4711" w:type="dxa"/>
          </w:tcPr>
          <w:p w14:paraId="0BC9E628"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La motivación de la renuncia.</w:t>
            </w:r>
          </w:p>
        </w:tc>
        <w:tc>
          <w:tcPr>
            <w:tcW w:w="4649" w:type="dxa"/>
          </w:tcPr>
          <w:p w14:paraId="0F29EFD6" w14:textId="007F4A50"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The motivation for the renunciation.</w:t>
            </w:r>
          </w:p>
        </w:tc>
      </w:tr>
      <w:tr w:rsidR="009849AC" w:rsidRPr="002314E3" w14:paraId="5C374F5C" w14:textId="56E292BF" w:rsidTr="00F867DE">
        <w:tc>
          <w:tcPr>
            <w:tcW w:w="4711" w:type="dxa"/>
          </w:tcPr>
          <w:p w14:paraId="2493FC00"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Un plan que garantice la continuidad operativa o abandono y la transición ordenada, segura y eficiente del Área de Asignación, en términos de la Normatividad que para tal efecto emitan la Secretaría y la Agencia en sus respectivos ámbitos de competencia, y, en su caso, se debe señalar si dicha área cuenta con la posibilidad de desarrollar otras actividades a partir de Pozos Inviables.</w:t>
            </w:r>
          </w:p>
        </w:tc>
        <w:tc>
          <w:tcPr>
            <w:tcW w:w="4649" w:type="dxa"/>
          </w:tcPr>
          <w:p w14:paraId="4D249775" w14:textId="303150CA"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A plan to ensure operational continuity or abandonment and the orderly, safe, and efficient transition of the Assignment area, in accordance with the Legislation issued for this purpose by the Secretary and the Agency in their respective areas of competence, and, where applicable, whether said area has the possibility of developing other activities based on Unviable Wells.</w:t>
            </w:r>
          </w:p>
        </w:tc>
      </w:tr>
      <w:tr w:rsidR="009849AC" w:rsidRPr="002314E3" w14:paraId="1768267C" w14:textId="0FD336D4" w:rsidTr="00F867DE">
        <w:tc>
          <w:tcPr>
            <w:tcW w:w="4711" w:type="dxa"/>
          </w:tcPr>
          <w:p w14:paraId="50EC6193"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persona Asignataria debe dar aviso a la Agencia y acreditar la recepción de la solicitud de renuncia presentada a la Secretaría, dentro de los cinco días hábiles siguientes al de su presentación y debe cumplir con las determinaciones que se establezcan en la Normatividad aplicable que, en su caso, correspondan.</w:t>
            </w:r>
          </w:p>
        </w:tc>
        <w:tc>
          <w:tcPr>
            <w:tcW w:w="4649" w:type="dxa"/>
          </w:tcPr>
          <w:p w14:paraId="34EB15E5" w14:textId="2A94A4BF"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Assignee must notify the Agency and prove receipt of the renunciation request submitted to the Secretary within five business days of its submission and must comply with the provisions established in the applicable legislation, if applicable.</w:t>
            </w:r>
          </w:p>
        </w:tc>
      </w:tr>
      <w:tr w:rsidR="009849AC" w:rsidRPr="002314E3" w14:paraId="3D6B9187" w14:textId="39B3B27B" w:rsidTr="00F867DE">
        <w:tc>
          <w:tcPr>
            <w:tcW w:w="4711" w:type="dxa"/>
          </w:tcPr>
          <w:p w14:paraId="119933F9"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21.</w:t>
            </w:r>
            <w:r w:rsidRPr="00837D4A">
              <w:rPr>
                <w:rFonts w:ascii="Verdana" w:hAnsi="Verdana"/>
                <w:sz w:val="16"/>
                <w:szCs w:val="16"/>
              </w:rPr>
              <w:t xml:space="preserve"> La Secretaría debe aprobar la renuncia a la Asignación siempre que:</w:t>
            </w:r>
          </w:p>
        </w:tc>
        <w:tc>
          <w:tcPr>
            <w:tcW w:w="4649" w:type="dxa"/>
          </w:tcPr>
          <w:p w14:paraId="3DD2ECAE" w14:textId="3132E47E"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21. </w:t>
            </w:r>
            <w:r w:rsidRPr="00837D4A">
              <w:rPr>
                <w:rFonts w:ascii="Verdana" w:hAnsi="Verdana"/>
                <w:sz w:val="16"/>
                <w:szCs w:val="16"/>
                <w:lang w:val="en-US"/>
              </w:rPr>
              <w:t>The Secretary must approve the waiver of the Assignment whenever:</w:t>
            </w:r>
          </w:p>
        </w:tc>
      </w:tr>
      <w:tr w:rsidR="009849AC" w:rsidRPr="002314E3" w14:paraId="305C7BE8" w14:textId="5FCE9A70" w:rsidTr="00F867DE">
        <w:tc>
          <w:tcPr>
            <w:tcW w:w="4711" w:type="dxa"/>
          </w:tcPr>
          <w:p w14:paraId="62BAB91D"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No se afecte la garantía de abasto de Hidrocarburos;</w:t>
            </w:r>
          </w:p>
        </w:tc>
        <w:tc>
          <w:tcPr>
            <w:tcW w:w="4649" w:type="dxa"/>
          </w:tcPr>
          <w:p w14:paraId="1407A29E" w14:textId="49DE8C63"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guarantee of supply of Hydrocarbons is not affected;</w:t>
            </w:r>
          </w:p>
        </w:tc>
      </w:tr>
      <w:tr w:rsidR="009849AC" w:rsidRPr="002314E3" w14:paraId="0EB0ED4B" w14:textId="03F63868" w:rsidTr="00F867DE">
        <w:tc>
          <w:tcPr>
            <w:tcW w:w="4711" w:type="dxa"/>
          </w:tcPr>
          <w:p w14:paraId="670A3C1C"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No se contravenga la política pública en materia energética, y</w:t>
            </w:r>
          </w:p>
        </w:tc>
        <w:tc>
          <w:tcPr>
            <w:tcW w:w="4649" w:type="dxa"/>
          </w:tcPr>
          <w:p w14:paraId="17DE9951" w14:textId="79BC9CCF"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Public policy on energy matters is not contravened, and</w:t>
            </w:r>
          </w:p>
        </w:tc>
      </w:tr>
      <w:tr w:rsidR="009849AC" w:rsidRPr="002314E3" w14:paraId="7D82D72D" w14:textId="51AC805B" w:rsidTr="00F867DE">
        <w:tc>
          <w:tcPr>
            <w:tcW w:w="4711" w:type="dxa"/>
          </w:tcPr>
          <w:p w14:paraId="348C1809"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Petróleos Mexicanos haya cumplido con sus obligaciones y requerimientos, en términos de la Normatividad aplicable, al momento de la solicitud.</w:t>
            </w:r>
          </w:p>
        </w:tc>
        <w:tc>
          <w:tcPr>
            <w:tcW w:w="4649" w:type="dxa"/>
          </w:tcPr>
          <w:p w14:paraId="61C50B48" w14:textId="2ECB68B4"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Petróleos Mexicanos has complied with its obligations and requirements, in terms of the applicable legislation, at the time of the request.</w:t>
            </w:r>
          </w:p>
        </w:tc>
      </w:tr>
      <w:tr w:rsidR="009849AC" w:rsidRPr="002314E3" w14:paraId="69ECCAF1" w14:textId="5F4EBC65" w:rsidTr="00F867DE">
        <w:tc>
          <w:tcPr>
            <w:tcW w:w="4711" w:type="dxa"/>
          </w:tcPr>
          <w:p w14:paraId="1F85C53F"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Secretaría debe informar a la Agencia y demás autoridades competentes, del procedimiento de renuncia en un plazo no mayor de diez días hábiles posteriores a la recepción de la solicitud de renuncia y debe solicitarles su pronunciamiento respecto del cumplimiento de las obligaciones de la persona Asignataria ante estas.</w:t>
            </w:r>
          </w:p>
        </w:tc>
        <w:tc>
          <w:tcPr>
            <w:tcW w:w="4649" w:type="dxa"/>
          </w:tcPr>
          <w:p w14:paraId="6A9E5677" w14:textId="693E1A9E"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Secretary must inform the Agency and other appropriate authorities of the renunciation procedure within a period of no more than ten business days after receiving the renunciation request and must request their opinion regarding the fulfillment of the Assignee's obligations to them.</w:t>
            </w:r>
          </w:p>
        </w:tc>
      </w:tr>
      <w:tr w:rsidR="009849AC" w:rsidRPr="002314E3" w14:paraId="732EBC67" w14:textId="57680306" w:rsidTr="00F867DE">
        <w:tc>
          <w:tcPr>
            <w:tcW w:w="4711" w:type="dxa"/>
          </w:tcPr>
          <w:p w14:paraId="3C325D36"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 xml:space="preserve">La Agencia y las demás autoridades competentes deben informar a la Secretaría, en un plazo máximo de diez días hábiles, cuando inicien y concluyan los </w:t>
            </w:r>
            <w:r w:rsidRPr="00837D4A">
              <w:rPr>
                <w:rFonts w:ascii="Verdana" w:hAnsi="Verdana"/>
                <w:sz w:val="16"/>
                <w:szCs w:val="16"/>
              </w:rPr>
              <w:lastRenderedPageBreak/>
              <w:t>procedimientos relacionados con la renuncia de la Asignación, en el ámbito de su competencia.</w:t>
            </w:r>
          </w:p>
        </w:tc>
        <w:tc>
          <w:tcPr>
            <w:tcW w:w="4649" w:type="dxa"/>
          </w:tcPr>
          <w:p w14:paraId="4C48D751" w14:textId="280505D5"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lastRenderedPageBreak/>
              <w:t xml:space="preserve">The Agency and other appropriate authorities must inform the Secretary, within a maximum period of ten working days, when they initiate and conclude </w:t>
            </w:r>
            <w:r w:rsidRPr="00837D4A">
              <w:rPr>
                <w:rFonts w:ascii="Verdana" w:hAnsi="Verdana"/>
                <w:sz w:val="16"/>
                <w:szCs w:val="16"/>
                <w:lang w:val="en-US"/>
              </w:rPr>
              <w:lastRenderedPageBreak/>
              <w:t>procedures related to the renunciation of the Assignment, within their scope of authority.</w:t>
            </w:r>
          </w:p>
        </w:tc>
      </w:tr>
      <w:tr w:rsidR="009849AC" w:rsidRPr="002314E3" w14:paraId="5E9F14E5" w14:textId="21792BF9" w:rsidTr="00F867DE">
        <w:tc>
          <w:tcPr>
            <w:tcW w:w="4711" w:type="dxa"/>
          </w:tcPr>
          <w:p w14:paraId="62FEA8D0"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lastRenderedPageBreak/>
              <w:t>La Secretaría cuenta con un plazo de cuarenta días hábiles a partir de la fecha de recepción de la solicitud, para resolver al respecto.</w:t>
            </w:r>
          </w:p>
        </w:tc>
        <w:tc>
          <w:tcPr>
            <w:tcW w:w="4649" w:type="dxa"/>
          </w:tcPr>
          <w:p w14:paraId="4098B85D" w14:textId="6E614083"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Secretary has a period of forty working days from the date of receipt of the request to resolve the matter.</w:t>
            </w:r>
          </w:p>
        </w:tc>
      </w:tr>
      <w:tr w:rsidR="009849AC" w:rsidRPr="002314E3" w14:paraId="23F57AD0" w14:textId="3DE59782" w:rsidTr="00F867DE">
        <w:tc>
          <w:tcPr>
            <w:tcW w:w="4711" w:type="dxa"/>
          </w:tcPr>
          <w:p w14:paraId="17F16D29"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En el supuesto de que la Secretaría decida la continuidad operativa del Área de Asignación, la persona Asignataria debe cumplir con sus obligaciones y responsabilidades hasta ciento ochenta días naturales posteriores a la renuncia o hasta que se otorgue un Contrato para la Exploración y Extracción, lo que ocurra primero.</w:t>
            </w:r>
          </w:p>
        </w:tc>
        <w:tc>
          <w:tcPr>
            <w:tcW w:w="4649" w:type="dxa"/>
          </w:tcPr>
          <w:p w14:paraId="2BF23A42" w14:textId="56270429"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In the event that the Secretary decides to continue operating the Assignment area, the Assignee must comply with its obligations and responsibilities for up to one hundred and eighty calendar days after the renunciation or until an Exploration and Extraction Contract is granted, whichever occurs first.</w:t>
            </w:r>
          </w:p>
        </w:tc>
      </w:tr>
      <w:tr w:rsidR="009849AC" w:rsidRPr="002314E3" w14:paraId="7DC6D1AF" w14:textId="06B1BC43" w:rsidTr="00F867DE">
        <w:tc>
          <w:tcPr>
            <w:tcW w:w="4711" w:type="dxa"/>
          </w:tcPr>
          <w:p w14:paraId="1B754AE4"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En caso de que la Secretaría apruebe la renuncia del Área de Asignación sin continuidad operativa, la persona Asignataria debe iniciar el abandono y realizar a su costa y riesgo el taponamiento de pozos, el desmantelamiento y retiro de maquinaria y equipo, en términos del título de Asignación, la regulación emitida por la Secretaría o la Agencia, así como la demás Normatividad aplicable.</w:t>
            </w:r>
          </w:p>
        </w:tc>
        <w:tc>
          <w:tcPr>
            <w:tcW w:w="4649" w:type="dxa"/>
          </w:tcPr>
          <w:p w14:paraId="6B901859" w14:textId="7DCD1018"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In the event that the Secretary approves the renunciation of the Assignment area without operational continuity, the Assignee must initiate the abandonment and carry out, at its own cost and risk, the plugging of wells, the dismantling and removal of machinery and equipment, in accordance with the Assignment title, the Legislation issued by the Secretary or the Agency, as well as other applicable legislation.</w:t>
            </w:r>
          </w:p>
        </w:tc>
      </w:tr>
      <w:tr w:rsidR="009849AC" w:rsidRPr="002314E3" w14:paraId="42DD16E6" w14:textId="12030F83" w:rsidTr="00F867DE">
        <w:tc>
          <w:tcPr>
            <w:tcW w:w="4711" w:type="dxa"/>
          </w:tcPr>
          <w:p w14:paraId="4F672401"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Secretaría debe notificar a la Secretaría de Hacienda y Crédito Público, al Fondo Mexicano del Petróleo y demás autoridades competentes sobre la renuncia a una Asignación, dentro de los cinco días hábiles siguientes a que esta se haga efectiva.</w:t>
            </w:r>
          </w:p>
        </w:tc>
        <w:tc>
          <w:tcPr>
            <w:tcW w:w="4649" w:type="dxa"/>
          </w:tcPr>
          <w:p w14:paraId="1A76CDC3" w14:textId="6E0913D8"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Secretary must notify the Secretary of Finance and Public Credit, the Mexican Petroleum Fund, and other appropriate authorities of the renunciation of an Assignment within five business days of its effective date.</w:t>
            </w:r>
          </w:p>
        </w:tc>
      </w:tr>
      <w:tr w:rsidR="009849AC" w:rsidRPr="002314E3" w14:paraId="2606B1C5" w14:textId="5AC07C04" w:rsidTr="00F867DE">
        <w:tc>
          <w:tcPr>
            <w:tcW w:w="4711" w:type="dxa"/>
          </w:tcPr>
          <w:p w14:paraId="36C45BE8"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Cuando la Secretaría determine que en el Área de Asignación existen Pozos Inviables con posibilidad de desarrollar otras actividades, debe emitir un dictamen de inviabilidad, incluirlo en los términos de la renuncia y solicitar a la persona Asignataria la presentación de la modificación del plan de abandono en su caso.</w:t>
            </w:r>
          </w:p>
        </w:tc>
        <w:tc>
          <w:tcPr>
            <w:tcW w:w="4649" w:type="dxa"/>
          </w:tcPr>
          <w:p w14:paraId="25629EEA" w14:textId="004B867D"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When the Secretary determines that there are unviable wells in the Assignment area with the possibility of developing other activities, it must issue a non-viability report, include it in the terms of the waiver, and request the Assignee to submit a modification to the abandonment plan, if applicable.</w:t>
            </w:r>
          </w:p>
        </w:tc>
      </w:tr>
      <w:tr w:rsidR="009849AC" w:rsidRPr="002314E3" w14:paraId="19110270" w14:textId="53773B57" w:rsidTr="00F867DE">
        <w:tc>
          <w:tcPr>
            <w:tcW w:w="4711" w:type="dxa"/>
          </w:tcPr>
          <w:p w14:paraId="69DE87EA"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La Secretaría, la Agencia y las demás autoridades deben emitir, en el ámbito de su competencia, la Normatividad respecto a la utilización y posterior abandono de los Pozos Inviables, para garantizar la continuidad operativa y la transición ordenada, segura y eficiente.</w:t>
            </w:r>
          </w:p>
        </w:tc>
        <w:tc>
          <w:tcPr>
            <w:tcW w:w="4649" w:type="dxa"/>
          </w:tcPr>
          <w:p w14:paraId="202C6B9F" w14:textId="2B0CB515"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The Secretary, the Agency, and other authorities must issue, within their jurisdiction, the legislation regarding the use and subsequent abandonment of unviable wells to ensure operational continuity and an orderly, safe, and efficient transition.</w:t>
            </w:r>
          </w:p>
        </w:tc>
      </w:tr>
      <w:tr w:rsidR="009849AC" w:rsidRPr="002314E3" w14:paraId="11C346E3" w14:textId="632985A1" w:rsidTr="00F867DE">
        <w:tc>
          <w:tcPr>
            <w:tcW w:w="4711" w:type="dxa"/>
          </w:tcPr>
          <w:p w14:paraId="3C9741C7"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Lo dispuesto en los dos párrafos anteriores resulta aplicable para los supuestos de revocación o modificación por reducción del Área de Asignación contemplados en los artículos 22 y 29 de este reglamento.</w:t>
            </w:r>
          </w:p>
        </w:tc>
        <w:tc>
          <w:tcPr>
            <w:tcW w:w="4649" w:type="dxa"/>
          </w:tcPr>
          <w:p w14:paraId="4AF86DA5" w14:textId="1508BA95"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The provisions of the two preceding paragraphs apply to cases of revocation or modification due to a reduction in the Assignment area contemplated in Articles 22 and 29 of this regulation.</w:t>
            </w:r>
          </w:p>
        </w:tc>
      </w:tr>
      <w:tr w:rsidR="009849AC" w:rsidRPr="00D0180E" w14:paraId="4344A9D9" w14:textId="37932BF5" w:rsidTr="00F867DE">
        <w:tc>
          <w:tcPr>
            <w:tcW w:w="4711" w:type="dxa"/>
          </w:tcPr>
          <w:p w14:paraId="0B8332E8"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Sección Tercera</w:t>
            </w:r>
          </w:p>
        </w:tc>
        <w:tc>
          <w:tcPr>
            <w:tcW w:w="4649" w:type="dxa"/>
          </w:tcPr>
          <w:p w14:paraId="240A27C1" w14:textId="12EE199F" w:rsidR="009849AC" w:rsidRPr="00837D4A" w:rsidRDefault="009849AC" w:rsidP="009849AC">
            <w:pPr>
              <w:pStyle w:val="Texto"/>
              <w:spacing w:line="224" w:lineRule="exact"/>
              <w:ind w:firstLine="0"/>
              <w:jc w:val="center"/>
              <w:rPr>
                <w:rFonts w:ascii="Verdana" w:hAnsi="Verdana"/>
                <w:b/>
                <w:sz w:val="16"/>
                <w:szCs w:val="16"/>
                <w:lang w:val="en-US"/>
              </w:rPr>
            </w:pPr>
            <w:proofErr w:type="spellStart"/>
            <w:r w:rsidRPr="00837D4A">
              <w:rPr>
                <w:rFonts w:ascii="Verdana" w:hAnsi="Verdana"/>
                <w:b/>
                <w:sz w:val="16"/>
                <w:szCs w:val="16"/>
              </w:rPr>
              <w:t>Third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D0180E" w14:paraId="51967463" w14:textId="34A3D11C" w:rsidTr="00F867DE">
        <w:tc>
          <w:tcPr>
            <w:tcW w:w="4711" w:type="dxa"/>
          </w:tcPr>
          <w:p w14:paraId="3C34D32F"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De la Revocación</w:t>
            </w:r>
          </w:p>
        </w:tc>
        <w:tc>
          <w:tcPr>
            <w:tcW w:w="4649" w:type="dxa"/>
          </w:tcPr>
          <w:p w14:paraId="0B99E948" w14:textId="091FDAD8" w:rsidR="009849AC" w:rsidRPr="00837D4A" w:rsidRDefault="009849AC" w:rsidP="009849AC">
            <w:pPr>
              <w:pStyle w:val="Texto"/>
              <w:spacing w:line="224" w:lineRule="exact"/>
              <w:ind w:firstLine="0"/>
              <w:jc w:val="center"/>
              <w:rPr>
                <w:rFonts w:ascii="Verdana" w:hAnsi="Verdana"/>
                <w:b/>
                <w:sz w:val="16"/>
                <w:szCs w:val="16"/>
                <w:lang w:val="en-US"/>
              </w:rPr>
            </w:pPr>
            <w:proofErr w:type="spellStart"/>
            <w:r w:rsidRPr="00837D4A">
              <w:rPr>
                <w:rFonts w:ascii="Verdana" w:hAnsi="Verdana"/>
                <w:b/>
                <w:sz w:val="16"/>
                <w:szCs w:val="16"/>
              </w:rPr>
              <w:t>Revocation</w:t>
            </w:r>
            <w:proofErr w:type="spellEnd"/>
          </w:p>
        </w:tc>
      </w:tr>
      <w:tr w:rsidR="009849AC" w:rsidRPr="002314E3" w14:paraId="3D8C47EF" w14:textId="2A9714EC" w:rsidTr="00F867DE">
        <w:tc>
          <w:tcPr>
            <w:tcW w:w="4711" w:type="dxa"/>
          </w:tcPr>
          <w:p w14:paraId="13FBCA4A"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22.</w:t>
            </w:r>
            <w:r w:rsidRPr="00837D4A">
              <w:rPr>
                <w:rFonts w:ascii="Verdana" w:hAnsi="Verdana"/>
                <w:sz w:val="16"/>
                <w:szCs w:val="16"/>
              </w:rPr>
              <w:t xml:space="preserve"> La Secretaría de Hacienda y Crédito Público, la Secretaría de Economía, el Fondo Mexicano del Petróleo o la Agencia, pueden someter a consideración de la Secretaría, en el ámbito de su competencia, en cualquier momento, la existencia de posibles causales de revocación de los títulos de Asignación.</w:t>
            </w:r>
          </w:p>
        </w:tc>
        <w:tc>
          <w:tcPr>
            <w:tcW w:w="4649" w:type="dxa"/>
          </w:tcPr>
          <w:p w14:paraId="010A6A32" w14:textId="43F122B2"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22. </w:t>
            </w:r>
            <w:r w:rsidRPr="00837D4A">
              <w:rPr>
                <w:rFonts w:ascii="Verdana" w:hAnsi="Verdana"/>
                <w:sz w:val="16"/>
                <w:szCs w:val="16"/>
                <w:lang w:val="en-US"/>
              </w:rPr>
              <w:t>The Secretary of Finance and Public Credit, the Secretary of Economy, the Mexican Petroleum Fund or the Agency may submit to the Secretary, within its jurisdiction, at any time, the existence of possible causes for revocation of the Assignment titles.</w:t>
            </w:r>
          </w:p>
        </w:tc>
      </w:tr>
      <w:tr w:rsidR="009849AC" w:rsidRPr="002314E3" w14:paraId="0F7F84E0" w14:textId="0798A615" w:rsidTr="00F867DE">
        <w:tc>
          <w:tcPr>
            <w:tcW w:w="4711" w:type="dxa"/>
          </w:tcPr>
          <w:p w14:paraId="49B06780"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 xml:space="preserve">Artículo 23. </w:t>
            </w:r>
            <w:r w:rsidRPr="00837D4A">
              <w:rPr>
                <w:rFonts w:ascii="Verdana" w:hAnsi="Verdana"/>
                <w:sz w:val="16"/>
                <w:szCs w:val="16"/>
              </w:rPr>
              <w:t xml:space="preserve">En caso de que la Secretaría determine revocar una Asignación lo debe notificar a la persona Asignataria e informar de lo anterior a la Agencia en un </w:t>
            </w:r>
            <w:r w:rsidRPr="00837D4A">
              <w:rPr>
                <w:rFonts w:ascii="Verdana" w:hAnsi="Verdana"/>
                <w:sz w:val="16"/>
                <w:szCs w:val="16"/>
              </w:rPr>
              <w:lastRenderedPageBreak/>
              <w:t>plazo no mayor de diez días hábiles posteriores a dicha determinación.</w:t>
            </w:r>
          </w:p>
        </w:tc>
        <w:tc>
          <w:tcPr>
            <w:tcW w:w="4649" w:type="dxa"/>
          </w:tcPr>
          <w:p w14:paraId="062823AA" w14:textId="7F9F84CA"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23. </w:t>
            </w:r>
            <w:r w:rsidRPr="00837D4A">
              <w:rPr>
                <w:rFonts w:ascii="Verdana" w:hAnsi="Verdana"/>
                <w:sz w:val="16"/>
                <w:szCs w:val="16"/>
                <w:lang w:val="en-US"/>
              </w:rPr>
              <w:t xml:space="preserve">In the event that the Secretary determines to revoke an Assignment, it must notify the Assignee </w:t>
            </w:r>
            <w:r w:rsidRPr="00837D4A">
              <w:rPr>
                <w:rFonts w:ascii="Verdana" w:hAnsi="Verdana"/>
                <w:sz w:val="16"/>
                <w:szCs w:val="16"/>
                <w:lang w:val="en-US"/>
              </w:rPr>
              <w:lastRenderedPageBreak/>
              <w:t>and inform the Agency within a period of no more than ten business days following said determination.</w:t>
            </w:r>
          </w:p>
        </w:tc>
      </w:tr>
      <w:tr w:rsidR="009849AC" w:rsidRPr="002314E3" w14:paraId="26532199" w14:textId="4CECD9EE" w:rsidTr="00F867DE">
        <w:tc>
          <w:tcPr>
            <w:tcW w:w="4711" w:type="dxa"/>
          </w:tcPr>
          <w:p w14:paraId="2A194404"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lastRenderedPageBreak/>
              <w:t>En caso de que la Secretaría determine el abandono del Área de Asignación, la persona Asignataria debe iniciar el abandono, y realizar a su costa y riesgo el taponamiento de pozos, el desmantelamiento y retiro de maquinaria y equipo, en términos del título de Asignación, la regulación emitida por la Secretaría o la Agencia, así como la demás Normatividad aplicable.</w:t>
            </w:r>
          </w:p>
        </w:tc>
        <w:tc>
          <w:tcPr>
            <w:tcW w:w="4649" w:type="dxa"/>
          </w:tcPr>
          <w:p w14:paraId="35716541" w14:textId="68EAB4C0"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In the event that the Secretary determines the abandonment of the Assignment area, the Assignee must initiate the abandonment, and carry out at its own cost and risk the plugging of wells, the dismantling and removal of machinery and equipment, in accordance with the Assignment title, the Legislation issued by the Secretary or the Agency, as well as other applicable legislation.</w:t>
            </w:r>
          </w:p>
        </w:tc>
      </w:tr>
      <w:tr w:rsidR="009849AC" w:rsidRPr="002314E3" w14:paraId="5C2E5612" w14:textId="5A462C0E" w:rsidTr="00F867DE">
        <w:tc>
          <w:tcPr>
            <w:tcW w:w="4711" w:type="dxa"/>
          </w:tcPr>
          <w:p w14:paraId="5E3CC3BF"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La persona Asignataria debe presentar a la Secretaría y a la Agencia un plan que garantice la transición ordenada, segura y eficiente de las actividades del Área de Asignación en un plazo de quince días hábiles contados a partir de la notificación de la determinación a que se refiere el párrafo anterior, o sobre el abandono del Área de Asignación respectiva, el programa para el cierre, desmantelamiento y abandono en términos de la Normatividad aplicable emitida por la Agencia.</w:t>
            </w:r>
          </w:p>
        </w:tc>
        <w:tc>
          <w:tcPr>
            <w:tcW w:w="4649" w:type="dxa"/>
          </w:tcPr>
          <w:p w14:paraId="5114ECD4" w14:textId="3C515F81"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The Assignee must submit to the Secretary and the Agency a plan that guarantees the orderly, safe and efficient transition of the activities of the Assignment area within a period of fifteen business days from the notification of the determination referred to in the preceding paragraph, or on the abandonment of the respective Assignment area, the program for the closure, dismantling and abandonment in terms of the applicable legislation issued by the Agency.</w:t>
            </w:r>
          </w:p>
        </w:tc>
      </w:tr>
      <w:tr w:rsidR="009849AC" w:rsidRPr="002314E3" w14:paraId="7E269FE2" w14:textId="2ACE4F64" w:rsidTr="00F867DE">
        <w:tc>
          <w:tcPr>
            <w:tcW w:w="4711" w:type="dxa"/>
          </w:tcPr>
          <w:p w14:paraId="78A8C8A7"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La Secretaría debe notificar a la Secretaría de Hacienda y Crédito Público y al Fondo Mexicano del Petróleo sobre la revocación de una Asignación, dentro de los cinco días hábiles siguientes al que se haya dictado la resolución correspondiente.</w:t>
            </w:r>
            <w:bookmarkStart w:id="3" w:name="N_Int_T6uOLYDx"/>
            <w:bookmarkEnd w:id="3"/>
          </w:p>
        </w:tc>
        <w:tc>
          <w:tcPr>
            <w:tcW w:w="4649" w:type="dxa"/>
          </w:tcPr>
          <w:p w14:paraId="47C88904" w14:textId="1007867B"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The Secretary must notify the Secretary of Finance and Public Credit and the Mexican Petroleum Fund of the revocation of an Assignment within five business days following the issuance of the corresponding resolution.</w:t>
            </w:r>
          </w:p>
        </w:tc>
      </w:tr>
      <w:tr w:rsidR="009849AC" w:rsidRPr="002314E3" w14:paraId="1DAFA2C7" w14:textId="733D488C" w:rsidTr="00F867DE">
        <w:tc>
          <w:tcPr>
            <w:tcW w:w="4711" w:type="dxa"/>
          </w:tcPr>
          <w:p w14:paraId="2AD08CA0"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24.</w:t>
            </w:r>
            <w:r w:rsidRPr="00837D4A">
              <w:rPr>
                <w:rFonts w:ascii="Verdana" w:hAnsi="Verdana"/>
                <w:sz w:val="16"/>
                <w:szCs w:val="16"/>
              </w:rPr>
              <w:t xml:space="preserve"> El procedimiento de revocación se debe llevar a cabo en términos de lo dispuesto en el artículo 19 de la Ley, y sin menoscabo de las sanciones legales y administrativas a que haya lugar, así como del resarcimiento de los daños y perjuicios causados.</w:t>
            </w:r>
          </w:p>
        </w:tc>
        <w:tc>
          <w:tcPr>
            <w:tcW w:w="4649" w:type="dxa"/>
          </w:tcPr>
          <w:p w14:paraId="11152ADB" w14:textId="3636E7C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24. </w:t>
            </w:r>
            <w:r w:rsidRPr="00837D4A">
              <w:rPr>
                <w:rFonts w:ascii="Verdana" w:hAnsi="Verdana"/>
                <w:sz w:val="16"/>
                <w:szCs w:val="16"/>
                <w:lang w:val="en-US"/>
              </w:rPr>
              <w:t>The revocation procedure must be carried out in accordance with the provisions of Article 19 of the Law, and without prejudice to any applicable legal and administrative sanctions, as well as compensation for damages caused.</w:t>
            </w:r>
          </w:p>
        </w:tc>
      </w:tr>
      <w:tr w:rsidR="009849AC" w:rsidRPr="002314E3" w14:paraId="258F440D" w14:textId="7419E11B" w:rsidTr="00F867DE">
        <w:tc>
          <w:tcPr>
            <w:tcW w:w="4711" w:type="dxa"/>
          </w:tcPr>
          <w:p w14:paraId="76047F29"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25.</w:t>
            </w:r>
            <w:r w:rsidRPr="00837D4A">
              <w:rPr>
                <w:rFonts w:ascii="Verdana" w:hAnsi="Verdana"/>
                <w:sz w:val="16"/>
                <w:szCs w:val="16"/>
              </w:rPr>
              <w:t xml:space="preserve"> Para efectos del artículo 18 de la Ley, se consideran causas justificadas los casos fortuitos o de fuerza mayor, así como los demás que se establezcan en el título de Asignación.</w:t>
            </w:r>
          </w:p>
        </w:tc>
        <w:tc>
          <w:tcPr>
            <w:tcW w:w="4649" w:type="dxa"/>
          </w:tcPr>
          <w:p w14:paraId="1FDDC8F0" w14:textId="73672C89"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25. </w:t>
            </w:r>
            <w:r w:rsidRPr="00837D4A">
              <w:rPr>
                <w:rFonts w:ascii="Verdana" w:hAnsi="Verdana"/>
                <w:sz w:val="16"/>
                <w:szCs w:val="16"/>
                <w:lang w:val="en-US"/>
              </w:rPr>
              <w:t>For the purposes of Article 18 of the Law, justified causes are considered to be cases of fortuitous events or force majeure, as well as any others established in the Assignment title.</w:t>
            </w:r>
          </w:p>
        </w:tc>
      </w:tr>
      <w:tr w:rsidR="009849AC" w:rsidRPr="00D0180E" w14:paraId="205E2748" w14:textId="1A726A0B" w:rsidTr="00F867DE">
        <w:tc>
          <w:tcPr>
            <w:tcW w:w="4711" w:type="dxa"/>
          </w:tcPr>
          <w:p w14:paraId="04327FD1" w14:textId="77777777" w:rsidR="009849AC" w:rsidRPr="00837D4A" w:rsidRDefault="009849AC" w:rsidP="009849AC">
            <w:pPr>
              <w:pStyle w:val="Texto"/>
              <w:spacing w:line="224" w:lineRule="exact"/>
              <w:ind w:firstLine="0"/>
              <w:jc w:val="center"/>
              <w:rPr>
                <w:rFonts w:ascii="Verdana" w:hAnsi="Verdana"/>
                <w:b/>
                <w:sz w:val="16"/>
                <w:szCs w:val="16"/>
              </w:rPr>
            </w:pPr>
            <w:bookmarkStart w:id="4" w:name="N_Hlk205405306"/>
            <w:r w:rsidRPr="00837D4A">
              <w:rPr>
                <w:rFonts w:ascii="Verdana" w:hAnsi="Verdana"/>
                <w:b/>
                <w:sz w:val="16"/>
                <w:szCs w:val="16"/>
              </w:rPr>
              <w:t>Capítulo III</w:t>
            </w:r>
          </w:p>
        </w:tc>
        <w:tc>
          <w:tcPr>
            <w:tcW w:w="4649" w:type="dxa"/>
          </w:tcPr>
          <w:p w14:paraId="325AED15" w14:textId="58248325" w:rsidR="009849AC" w:rsidRPr="00837D4A" w:rsidRDefault="009849AC" w:rsidP="009849AC">
            <w:pPr>
              <w:pStyle w:val="Texto"/>
              <w:spacing w:line="224"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III</w:t>
            </w:r>
          </w:p>
        </w:tc>
      </w:tr>
      <w:tr w:rsidR="009849AC" w:rsidRPr="000513DC" w14:paraId="754F1C62" w14:textId="6546043C" w:rsidTr="00F867DE">
        <w:tc>
          <w:tcPr>
            <w:tcW w:w="4711" w:type="dxa"/>
          </w:tcPr>
          <w:p w14:paraId="5715AB07"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De las Asignaciones para Desarrollo Propio</w:t>
            </w:r>
            <w:bookmarkEnd w:id="4"/>
          </w:p>
        </w:tc>
        <w:tc>
          <w:tcPr>
            <w:tcW w:w="4649" w:type="dxa"/>
          </w:tcPr>
          <w:p w14:paraId="4A1D682F" w14:textId="4A115540" w:rsidR="009849AC" w:rsidRPr="00837D4A" w:rsidRDefault="009849AC" w:rsidP="009849AC">
            <w:pPr>
              <w:pStyle w:val="Texto"/>
              <w:spacing w:line="224" w:lineRule="exact"/>
              <w:ind w:firstLine="0"/>
              <w:jc w:val="center"/>
              <w:rPr>
                <w:rFonts w:ascii="Verdana" w:hAnsi="Verdana"/>
                <w:b/>
                <w:sz w:val="16"/>
                <w:szCs w:val="16"/>
                <w:lang w:val="en-US"/>
              </w:rPr>
            </w:pPr>
            <w:r w:rsidRPr="00837D4A">
              <w:rPr>
                <w:rFonts w:ascii="Verdana" w:hAnsi="Verdana"/>
                <w:b/>
                <w:sz w:val="16"/>
                <w:szCs w:val="16"/>
                <w:lang w:val="en-US"/>
              </w:rPr>
              <w:t>Assignments for Self-Development</w:t>
            </w:r>
          </w:p>
        </w:tc>
      </w:tr>
      <w:tr w:rsidR="009849AC" w:rsidRPr="002314E3" w14:paraId="74681D53" w14:textId="6532AC9D" w:rsidTr="00F867DE">
        <w:tc>
          <w:tcPr>
            <w:tcW w:w="4711" w:type="dxa"/>
          </w:tcPr>
          <w:p w14:paraId="7700CA91"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26.</w:t>
            </w:r>
            <w:r w:rsidRPr="00837D4A">
              <w:rPr>
                <w:rFonts w:ascii="Verdana" w:hAnsi="Verdana"/>
                <w:sz w:val="16"/>
                <w:szCs w:val="16"/>
              </w:rPr>
              <w:t xml:space="preserve"> La Secretaría debe establecer en el título de Asignación para Desarrollo Propio, además de lo previsto en la Ley, los siguientes términos y condiciones:</w:t>
            </w:r>
          </w:p>
        </w:tc>
        <w:tc>
          <w:tcPr>
            <w:tcW w:w="4649" w:type="dxa"/>
          </w:tcPr>
          <w:p w14:paraId="6414DF32" w14:textId="11E9FA8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26. </w:t>
            </w:r>
            <w:r w:rsidRPr="00837D4A">
              <w:rPr>
                <w:rFonts w:ascii="Verdana" w:hAnsi="Verdana"/>
                <w:sz w:val="16"/>
                <w:szCs w:val="16"/>
                <w:lang w:val="en-US"/>
              </w:rPr>
              <w:t>The Secretary must establish in the title of Assignment for Self-Development, in addition to what is provided for in the Law, the following terms and conditions:</w:t>
            </w:r>
          </w:p>
        </w:tc>
      </w:tr>
      <w:tr w:rsidR="009849AC" w:rsidRPr="002314E3" w14:paraId="1F6DB1D3" w14:textId="0FC36B0A" w:rsidTr="00F867DE">
        <w:tc>
          <w:tcPr>
            <w:tcW w:w="4711" w:type="dxa"/>
          </w:tcPr>
          <w:p w14:paraId="5939F4B5"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Descripción general de las actividades de Exploración y su período;</w:t>
            </w:r>
          </w:p>
        </w:tc>
        <w:tc>
          <w:tcPr>
            <w:tcW w:w="4649" w:type="dxa"/>
          </w:tcPr>
          <w:p w14:paraId="56EE2B5C" w14:textId="63F1E53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General description of Exploration activities and their period;</w:t>
            </w:r>
          </w:p>
        </w:tc>
      </w:tr>
      <w:tr w:rsidR="009849AC" w:rsidRPr="002314E3" w14:paraId="4AEA2FB2" w14:textId="0A024244" w:rsidTr="00F867DE">
        <w:tc>
          <w:tcPr>
            <w:tcW w:w="4711" w:type="dxa"/>
          </w:tcPr>
          <w:p w14:paraId="4E4BBEF9"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Descripción general de las actividades de Extracción y su período, en su caso;</w:t>
            </w:r>
          </w:p>
        </w:tc>
        <w:tc>
          <w:tcPr>
            <w:tcW w:w="4649" w:type="dxa"/>
          </w:tcPr>
          <w:p w14:paraId="13B4D604" w14:textId="51F3FAEC"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General description of the Extraction activities and their period, if applicable;</w:t>
            </w:r>
          </w:p>
        </w:tc>
      </w:tr>
      <w:tr w:rsidR="009849AC" w:rsidRPr="002314E3" w14:paraId="1FDD456C" w14:textId="1B830A7B" w:rsidTr="00F867DE">
        <w:tc>
          <w:tcPr>
            <w:tcW w:w="4711" w:type="dxa"/>
          </w:tcPr>
          <w:p w14:paraId="1534A652"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Los Términos Técnicos y Operativos de la Asignación;</w:t>
            </w:r>
          </w:p>
        </w:tc>
        <w:tc>
          <w:tcPr>
            <w:tcW w:w="4649" w:type="dxa"/>
          </w:tcPr>
          <w:p w14:paraId="0D35DEEA" w14:textId="17EE1E8E"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Technical and Operational Terms of the Assignment;</w:t>
            </w:r>
          </w:p>
        </w:tc>
      </w:tr>
      <w:tr w:rsidR="009849AC" w:rsidRPr="002314E3" w14:paraId="1D6D95CC" w14:textId="66B55C65" w:rsidTr="00F867DE">
        <w:tc>
          <w:tcPr>
            <w:tcW w:w="4711" w:type="dxa"/>
          </w:tcPr>
          <w:p w14:paraId="06BD0B77"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Las condiciones para la sustitución a una Asignación para Desarrollo Mixto, y</w:t>
            </w:r>
          </w:p>
        </w:tc>
        <w:tc>
          <w:tcPr>
            <w:tcW w:w="4649" w:type="dxa"/>
          </w:tcPr>
          <w:p w14:paraId="56A68108" w14:textId="45668EF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conditions for the replacement of a Mixed Development Assignment, and</w:t>
            </w:r>
          </w:p>
        </w:tc>
      </w:tr>
      <w:tr w:rsidR="009849AC" w:rsidRPr="002314E3" w14:paraId="12C57E6F" w14:textId="4CB0F0CA" w:rsidTr="00F867DE">
        <w:tc>
          <w:tcPr>
            <w:tcW w:w="4711" w:type="dxa"/>
          </w:tcPr>
          <w:p w14:paraId="1018641E"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Los demás que establezca la Secretaría.</w:t>
            </w:r>
          </w:p>
        </w:tc>
        <w:tc>
          <w:tcPr>
            <w:tcW w:w="4649" w:type="dxa"/>
          </w:tcPr>
          <w:p w14:paraId="3B1249E7" w14:textId="2E267D71"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Others established by the Secretary.</w:t>
            </w:r>
          </w:p>
        </w:tc>
      </w:tr>
      <w:tr w:rsidR="009849AC" w:rsidRPr="002314E3" w14:paraId="5F9815D6" w14:textId="47A9F890" w:rsidTr="00F867DE">
        <w:tc>
          <w:tcPr>
            <w:tcW w:w="4711" w:type="dxa"/>
          </w:tcPr>
          <w:p w14:paraId="3D903041"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27.</w:t>
            </w:r>
            <w:r w:rsidRPr="00837D4A">
              <w:rPr>
                <w:rFonts w:ascii="Verdana" w:hAnsi="Verdana"/>
                <w:sz w:val="16"/>
                <w:szCs w:val="16"/>
              </w:rPr>
              <w:t xml:space="preserve"> La Secretaría debe incluir en el título de Asignación para Desarrollo Propio el porcentaje mínimo de contenido nacional que establezca, con la opinión de </w:t>
            </w:r>
            <w:r w:rsidRPr="00837D4A">
              <w:rPr>
                <w:rFonts w:ascii="Verdana" w:hAnsi="Verdana"/>
                <w:sz w:val="16"/>
                <w:szCs w:val="16"/>
              </w:rPr>
              <w:lastRenderedPageBreak/>
              <w:t>la Secretaría de Economía, de acuerdo con lo establecido en el artículo 19, fracción V del presente reglamento.</w:t>
            </w:r>
          </w:p>
        </w:tc>
        <w:tc>
          <w:tcPr>
            <w:tcW w:w="4649" w:type="dxa"/>
          </w:tcPr>
          <w:p w14:paraId="5EB17764" w14:textId="21AD423D"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27. </w:t>
            </w:r>
            <w:r w:rsidRPr="00837D4A">
              <w:rPr>
                <w:rFonts w:ascii="Verdana" w:hAnsi="Verdana"/>
                <w:sz w:val="16"/>
                <w:szCs w:val="16"/>
                <w:lang w:val="en-US"/>
              </w:rPr>
              <w:t xml:space="preserve">The Secretary must include in the title of Assignment for Self-Development the minimum percentage of national content that it establishes, with </w:t>
            </w:r>
            <w:r w:rsidRPr="00837D4A">
              <w:rPr>
                <w:rFonts w:ascii="Verdana" w:hAnsi="Verdana"/>
                <w:sz w:val="16"/>
                <w:szCs w:val="16"/>
                <w:lang w:val="en-US"/>
              </w:rPr>
              <w:lastRenderedPageBreak/>
              <w:t>the opinion of the Secretary of Economy, in accordance with the provisions of article 19, section V of this regulation.</w:t>
            </w:r>
          </w:p>
        </w:tc>
      </w:tr>
      <w:tr w:rsidR="009849AC" w:rsidRPr="002314E3" w14:paraId="2A0E75F6" w14:textId="593E1151" w:rsidTr="00F867DE">
        <w:tc>
          <w:tcPr>
            <w:tcW w:w="4711" w:type="dxa"/>
          </w:tcPr>
          <w:p w14:paraId="688AA5FB" w14:textId="77777777" w:rsidR="009849AC" w:rsidRPr="00837D4A" w:rsidRDefault="009849AC" w:rsidP="009849AC">
            <w:pPr>
              <w:pStyle w:val="Texto"/>
              <w:spacing w:line="224" w:lineRule="exact"/>
              <w:ind w:firstLine="0"/>
              <w:rPr>
                <w:rFonts w:ascii="Verdana" w:hAnsi="Verdana"/>
                <w:sz w:val="16"/>
                <w:szCs w:val="16"/>
              </w:rPr>
            </w:pPr>
            <w:bookmarkStart w:id="5" w:name="N_Hlk205563358"/>
            <w:r w:rsidRPr="00837D4A">
              <w:rPr>
                <w:rFonts w:ascii="Verdana" w:hAnsi="Verdana"/>
                <w:b/>
                <w:sz w:val="16"/>
                <w:szCs w:val="16"/>
              </w:rPr>
              <w:lastRenderedPageBreak/>
              <w:t>Artículo 28.</w:t>
            </w:r>
            <w:r w:rsidRPr="00837D4A">
              <w:rPr>
                <w:rFonts w:ascii="Verdana" w:hAnsi="Verdana"/>
                <w:sz w:val="16"/>
                <w:szCs w:val="16"/>
              </w:rPr>
              <w:t xml:space="preserve"> En las Asignaciones para Desarrollo Propio que tengan reconocidos derechos de Exploración, el periodo de Exploración tiene una vigencia igual a la de la Asignación de que se trate y puede concluir anticipadamente, previa aprobación de la Secretaría, una vez que se realicen todas las actividades exploratorias contempladas en el plan de Exploración aprobado o cuando la persona Asignataria considere que ya no requiere realizar las actividades exploratorias pendientes.</w:t>
            </w:r>
          </w:p>
        </w:tc>
        <w:tc>
          <w:tcPr>
            <w:tcW w:w="4649" w:type="dxa"/>
          </w:tcPr>
          <w:p w14:paraId="3D2B3009" w14:textId="2C479813"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28. </w:t>
            </w:r>
            <w:r w:rsidRPr="00837D4A">
              <w:rPr>
                <w:rFonts w:ascii="Verdana" w:hAnsi="Verdana"/>
                <w:sz w:val="16"/>
                <w:szCs w:val="16"/>
                <w:lang w:val="en-US"/>
              </w:rPr>
              <w:t xml:space="preserve">In the Assignments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that have recognized Exploration rights, the Exploration period has a validity equal to that of the Assignment in question and may conclude early, subject to the approval of the Secretary, once all the exploratory activities contemplated in the approved Exploration plan have been carried out or when the Assignee considers that it no longer requires carrying out the pending exploratory activities.</w:t>
            </w:r>
          </w:p>
        </w:tc>
      </w:tr>
      <w:tr w:rsidR="009849AC" w:rsidRPr="002314E3" w14:paraId="5793973F" w14:textId="3CDE9A6B" w:rsidTr="00F867DE">
        <w:tc>
          <w:tcPr>
            <w:tcW w:w="4711" w:type="dxa"/>
          </w:tcPr>
          <w:p w14:paraId="07D027CD" w14:textId="77777777" w:rsidR="009849AC" w:rsidRPr="00837D4A" w:rsidRDefault="009849AC" w:rsidP="009849AC">
            <w:pPr>
              <w:pStyle w:val="Texto"/>
              <w:spacing w:after="96"/>
              <w:ind w:firstLine="0"/>
              <w:rPr>
                <w:rFonts w:ascii="Verdana" w:hAnsi="Verdana"/>
                <w:b/>
                <w:sz w:val="16"/>
                <w:szCs w:val="16"/>
              </w:rPr>
            </w:pPr>
            <w:r w:rsidRPr="00837D4A">
              <w:rPr>
                <w:rFonts w:ascii="Verdana" w:hAnsi="Verdana"/>
                <w:sz w:val="16"/>
                <w:szCs w:val="16"/>
              </w:rPr>
              <w:t>En las Asignaciones para Desarrollo Propio con derechos de Exploración no debe establecerse la ejecución de actividades conforme a compromisos mínimos de trabajo.</w:t>
            </w:r>
          </w:p>
        </w:tc>
        <w:tc>
          <w:tcPr>
            <w:tcW w:w="4649" w:type="dxa"/>
          </w:tcPr>
          <w:p w14:paraId="42D6C9D8" w14:textId="49F6E0DF"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 xml:space="preserve">In Assignments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with Exploration Rights, the execution of activities in accordance with minimum work commitments should not be established.</w:t>
            </w:r>
          </w:p>
        </w:tc>
      </w:tr>
      <w:tr w:rsidR="009849AC" w:rsidRPr="002314E3" w14:paraId="268E203B" w14:textId="450A4E8B" w:rsidTr="00F867DE">
        <w:tc>
          <w:tcPr>
            <w:tcW w:w="4711" w:type="dxa"/>
          </w:tcPr>
          <w:p w14:paraId="541E396E"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En los Términos Técnicos y Operativos de las Asignaciones para Desarrollo Propio con derechos de Extracción, conforme a la política pública en materia energética, la viabilidad económica y técnica en la ejecución de las actividades en el Área de Asignación, la Secretaría puede establecer la realización de actividades conforme a un compromiso mínimo de trabajo.</w:t>
            </w:r>
          </w:p>
        </w:tc>
        <w:tc>
          <w:tcPr>
            <w:tcW w:w="4649" w:type="dxa"/>
          </w:tcPr>
          <w:p w14:paraId="3773F3A1" w14:textId="0C069FD3"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In the Technical and Operational Terms of the Assignments for Self-Development with Extraction Rights, in accordance with public energy policy and the economic and technical viability of carrying out activities in the Assignment area, the Secretary may establish the implementation of activities in accordance with a minimum work commitment.</w:t>
            </w:r>
          </w:p>
        </w:tc>
      </w:tr>
      <w:tr w:rsidR="009849AC" w:rsidRPr="002314E3" w14:paraId="3BF1AD90" w14:textId="765625C0" w:rsidTr="00F867DE">
        <w:tc>
          <w:tcPr>
            <w:tcW w:w="4711" w:type="dxa"/>
          </w:tcPr>
          <w:p w14:paraId="35774729" w14:textId="77777777" w:rsidR="009849AC" w:rsidRPr="00837D4A" w:rsidRDefault="009849AC" w:rsidP="009849AC">
            <w:pPr>
              <w:pStyle w:val="Texto"/>
              <w:spacing w:after="96"/>
              <w:ind w:firstLine="0"/>
              <w:rPr>
                <w:rFonts w:ascii="Verdana" w:hAnsi="Verdana"/>
                <w:sz w:val="16"/>
                <w:szCs w:val="16"/>
              </w:rPr>
            </w:pPr>
            <w:bookmarkStart w:id="6" w:name="N_Hlk205402260"/>
            <w:bookmarkEnd w:id="5"/>
            <w:r w:rsidRPr="00837D4A">
              <w:rPr>
                <w:rFonts w:ascii="Verdana" w:hAnsi="Verdana"/>
                <w:sz w:val="16"/>
                <w:szCs w:val="16"/>
              </w:rPr>
              <w:t>En septiembre del ejercicio previo en el que Petróleos Mexicanos vaya a realizar actividades exploratorias para el cumplimiento del plan de Exploración aprobado, debe presentar su programa anual de actividades y costos correspondiente a la Secretaría, que deben guardar congruencia con el plan de Exploración aprobado y que no puede contener actividades que no estén contempladas en dicho plan. Petróleos Mexicanos no debe presentar el programa anual de actividades y costos para las Asignaciones en las que no contemple realizar actividades en el ejercicio de que se trate.</w:t>
            </w:r>
          </w:p>
        </w:tc>
        <w:tc>
          <w:tcPr>
            <w:tcW w:w="4649" w:type="dxa"/>
          </w:tcPr>
          <w:p w14:paraId="61F334C7" w14:textId="4DA393A1"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In September of the fiscal year prior to the date in which Petróleos Mexicanos intends to conduct exploratory activities to fulfill the approved Exploration Plan, it must submit its annual program of activities and costs to the Secretary. These activities must be consistent with the approved Exploration Plan and may not contain activities not contemplated in said plan. Petróleos Mexicanos is not required to submit the annual program of activities and costs for Assignments in which it does not contemplate conducting activities in the fiscal year in question.</w:t>
            </w:r>
          </w:p>
        </w:tc>
      </w:tr>
      <w:tr w:rsidR="009849AC" w:rsidRPr="002314E3" w14:paraId="20743699" w14:textId="4A3CA436" w:rsidTr="00F867DE">
        <w:tc>
          <w:tcPr>
            <w:tcW w:w="4711" w:type="dxa"/>
          </w:tcPr>
          <w:p w14:paraId="419C3398"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Petróleos Mexicanos debe evaluar cada dos años que los planes de Exploración están alineados a su estrategia exploratoria y debe presentar a la Secretaría la ratificación del plan o, en su caso, la modificación con el programa anual de actividades y costos correspondientes.</w:t>
            </w:r>
          </w:p>
        </w:tc>
        <w:tc>
          <w:tcPr>
            <w:tcW w:w="4649" w:type="dxa"/>
          </w:tcPr>
          <w:p w14:paraId="1374975E" w14:textId="660ED6A6"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Every two years, Petróleos Mexicanos must evaluate whether its exploration plans are aligned with its exploration strategy and must submit to the Secretary the plan's ratification or, where appropriate, the modification, along with the annual program of activities and corresponding costs.</w:t>
            </w:r>
          </w:p>
        </w:tc>
      </w:tr>
      <w:tr w:rsidR="009849AC" w:rsidRPr="00D0180E" w14:paraId="52285270" w14:textId="7ADFAC43" w:rsidTr="00F867DE">
        <w:tc>
          <w:tcPr>
            <w:tcW w:w="4711" w:type="dxa"/>
          </w:tcPr>
          <w:p w14:paraId="255F4009" w14:textId="77777777" w:rsidR="009849AC" w:rsidRPr="00837D4A" w:rsidRDefault="009849AC" w:rsidP="009849AC">
            <w:pPr>
              <w:pStyle w:val="Texto"/>
              <w:spacing w:after="96"/>
              <w:ind w:firstLine="0"/>
              <w:jc w:val="center"/>
              <w:rPr>
                <w:rFonts w:ascii="Verdana" w:hAnsi="Verdana"/>
                <w:b/>
                <w:sz w:val="16"/>
                <w:szCs w:val="16"/>
              </w:rPr>
            </w:pPr>
            <w:bookmarkStart w:id="7" w:name="N_Hlk205458159"/>
            <w:bookmarkEnd w:id="6"/>
            <w:r w:rsidRPr="00837D4A">
              <w:rPr>
                <w:rFonts w:ascii="Verdana" w:hAnsi="Verdana"/>
                <w:b/>
                <w:sz w:val="16"/>
                <w:szCs w:val="16"/>
              </w:rPr>
              <w:t>Sección Primera</w:t>
            </w:r>
          </w:p>
        </w:tc>
        <w:tc>
          <w:tcPr>
            <w:tcW w:w="4649" w:type="dxa"/>
          </w:tcPr>
          <w:p w14:paraId="71E0929A" w14:textId="44998EF9" w:rsidR="009849AC" w:rsidRPr="00837D4A" w:rsidRDefault="009849AC" w:rsidP="009849AC">
            <w:pPr>
              <w:pStyle w:val="Texto"/>
              <w:spacing w:after="96"/>
              <w:ind w:firstLine="0"/>
              <w:jc w:val="center"/>
              <w:rPr>
                <w:rFonts w:ascii="Verdana" w:hAnsi="Verdana"/>
                <w:b/>
                <w:sz w:val="16"/>
                <w:szCs w:val="16"/>
                <w:lang w:val="en-US"/>
              </w:rPr>
            </w:pPr>
            <w:proofErr w:type="spellStart"/>
            <w:r w:rsidRPr="00837D4A">
              <w:rPr>
                <w:rFonts w:ascii="Verdana" w:hAnsi="Verdana"/>
                <w:b/>
                <w:sz w:val="16"/>
                <w:szCs w:val="16"/>
              </w:rPr>
              <w:t>First</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D0180E" w14:paraId="528A4187" w14:textId="4F651F59" w:rsidTr="00F867DE">
        <w:tc>
          <w:tcPr>
            <w:tcW w:w="4711" w:type="dxa"/>
          </w:tcPr>
          <w:p w14:paraId="6FEF833A" w14:textId="77777777" w:rsidR="009849AC" w:rsidRPr="00837D4A" w:rsidRDefault="009849AC" w:rsidP="009849AC">
            <w:pPr>
              <w:pStyle w:val="Texto"/>
              <w:spacing w:after="96"/>
              <w:ind w:firstLine="0"/>
              <w:jc w:val="center"/>
              <w:rPr>
                <w:rFonts w:ascii="Verdana" w:hAnsi="Verdana"/>
                <w:b/>
                <w:sz w:val="16"/>
                <w:szCs w:val="16"/>
              </w:rPr>
            </w:pPr>
            <w:r w:rsidRPr="00837D4A">
              <w:rPr>
                <w:rFonts w:ascii="Verdana" w:hAnsi="Verdana"/>
                <w:b/>
                <w:sz w:val="16"/>
                <w:szCs w:val="16"/>
              </w:rPr>
              <w:t>De la Modificación</w:t>
            </w:r>
          </w:p>
        </w:tc>
        <w:tc>
          <w:tcPr>
            <w:tcW w:w="4649" w:type="dxa"/>
          </w:tcPr>
          <w:p w14:paraId="7570677B" w14:textId="090FA27A" w:rsidR="009849AC" w:rsidRPr="00837D4A" w:rsidRDefault="009849AC" w:rsidP="009849AC">
            <w:pPr>
              <w:pStyle w:val="Texto"/>
              <w:spacing w:after="96"/>
              <w:ind w:firstLine="0"/>
              <w:jc w:val="center"/>
              <w:rPr>
                <w:rFonts w:ascii="Verdana" w:hAnsi="Verdana"/>
                <w:b/>
                <w:sz w:val="16"/>
                <w:szCs w:val="16"/>
                <w:lang w:val="en-US"/>
              </w:rPr>
            </w:pPr>
            <w:proofErr w:type="spellStart"/>
            <w:r w:rsidRPr="00837D4A">
              <w:rPr>
                <w:rFonts w:ascii="Verdana" w:hAnsi="Verdana"/>
                <w:b/>
                <w:sz w:val="16"/>
                <w:szCs w:val="16"/>
              </w:rPr>
              <w:t>Modification</w:t>
            </w:r>
            <w:proofErr w:type="spellEnd"/>
          </w:p>
        </w:tc>
      </w:tr>
      <w:tr w:rsidR="009849AC" w:rsidRPr="002314E3" w14:paraId="413E9F8C" w14:textId="743EC4D4" w:rsidTr="00F867DE">
        <w:tc>
          <w:tcPr>
            <w:tcW w:w="4711" w:type="dxa"/>
          </w:tcPr>
          <w:p w14:paraId="1D00C2D1"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Artículo 29.</w:t>
            </w:r>
            <w:r w:rsidRPr="00837D4A">
              <w:rPr>
                <w:rFonts w:ascii="Verdana" w:hAnsi="Verdana"/>
                <w:sz w:val="16"/>
                <w:szCs w:val="16"/>
              </w:rPr>
              <w:t xml:space="preserve"> La Secretaría puede modificar el título de Asignación para Desarrollo Propio y sus anexos, en los siguientes casos:</w:t>
            </w:r>
          </w:p>
        </w:tc>
        <w:tc>
          <w:tcPr>
            <w:tcW w:w="4649" w:type="dxa"/>
          </w:tcPr>
          <w:p w14:paraId="2711EFA1" w14:textId="5C17F3FC"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Article 29. </w:t>
            </w:r>
            <w:r w:rsidRPr="00837D4A">
              <w:rPr>
                <w:rFonts w:ascii="Verdana" w:hAnsi="Verdana"/>
                <w:sz w:val="16"/>
                <w:szCs w:val="16"/>
                <w:lang w:val="en-US"/>
              </w:rPr>
              <w:t>The Secretary may modify the title of the Self-Development Assignment and its annexes in the following cases:</w:t>
            </w:r>
          </w:p>
        </w:tc>
      </w:tr>
      <w:tr w:rsidR="009849AC" w:rsidRPr="002314E3" w14:paraId="10CE12D8" w14:textId="7622BBA4" w:rsidTr="00F867DE">
        <w:tc>
          <w:tcPr>
            <w:tcW w:w="4711" w:type="dxa"/>
          </w:tcPr>
          <w:p w14:paraId="1A7B8C9D"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Cambio en los Términos Técnicos y Operativos del título de Asignación;</w:t>
            </w:r>
          </w:p>
        </w:tc>
        <w:tc>
          <w:tcPr>
            <w:tcW w:w="4649" w:type="dxa"/>
          </w:tcPr>
          <w:p w14:paraId="2D857FB6" w14:textId="0630EEFE"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Change in the Technical and Operational Terms of the Assignment title;</w:t>
            </w:r>
          </w:p>
        </w:tc>
      </w:tr>
      <w:tr w:rsidR="009849AC" w:rsidRPr="002314E3" w14:paraId="6D85AC16" w14:textId="758129C7" w:rsidTr="00F867DE">
        <w:tc>
          <w:tcPr>
            <w:tcW w:w="4711" w:type="dxa"/>
          </w:tcPr>
          <w:p w14:paraId="4CB59799"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Cuando la Secretaría determine que es conveniente para el interés del Estado, en cumplimiento de la política pública que se emita y procurar la continuidad de la producción y la garantía de abasto de Hidrocarburos;</w:t>
            </w:r>
          </w:p>
        </w:tc>
        <w:tc>
          <w:tcPr>
            <w:tcW w:w="4649" w:type="dxa"/>
          </w:tcPr>
          <w:p w14:paraId="772CAE20" w14:textId="191E64DC"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When the Secretary determines that it is convenient for the interest of the State, in compliance with the public policy that is issued and to ensure the continuity of production and the guarantee of supply of Hydrocarbons;</w:t>
            </w:r>
          </w:p>
        </w:tc>
      </w:tr>
      <w:tr w:rsidR="009849AC" w:rsidRPr="002314E3" w14:paraId="58BA2BA4" w14:textId="08210521" w:rsidTr="00F867DE">
        <w:tc>
          <w:tcPr>
            <w:tcW w:w="4711" w:type="dxa"/>
          </w:tcPr>
          <w:p w14:paraId="3C27AA39"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Ampliación, reducción o modificación del Área de Asignación, conforme a los procedimientos establecidos en los títulos de Asignación;</w:t>
            </w:r>
          </w:p>
        </w:tc>
        <w:tc>
          <w:tcPr>
            <w:tcW w:w="4649" w:type="dxa"/>
          </w:tcPr>
          <w:p w14:paraId="75CE6E12" w14:textId="066B87F4"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Expansion, reduction or modification of the Assignment area, in accordance with the procedures established in the Assignment titles;</w:t>
            </w:r>
          </w:p>
        </w:tc>
      </w:tr>
      <w:tr w:rsidR="009849AC" w:rsidRPr="002314E3" w14:paraId="379A4D5D" w14:textId="0B619364" w:rsidTr="00F867DE">
        <w:tc>
          <w:tcPr>
            <w:tcW w:w="4711" w:type="dxa"/>
          </w:tcPr>
          <w:p w14:paraId="792911BC"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Modificación del compromiso mínimo de trabajo que, en su caso, se haya establecido con relación a las Asignaciones para Desarrollo Propio con derechos de Extracción, y</w:t>
            </w:r>
          </w:p>
        </w:tc>
        <w:tc>
          <w:tcPr>
            <w:tcW w:w="4649" w:type="dxa"/>
          </w:tcPr>
          <w:p w14:paraId="396017B4" w14:textId="122F0D61"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 xml:space="preserve">Modification of the minimum work commitment that, where applicable, has been established in relation to the Assignments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with extraction rights, and</w:t>
            </w:r>
          </w:p>
        </w:tc>
      </w:tr>
      <w:tr w:rsidR="009849AC" w:rsidRPr="002314E3" w14:paraId="700C2FF4" w14:textId="367A2CF5" w:rsidTr="00F867DE">
        <w:tc>
          <w:tcPr>
            <w:tcW w:w="4711" w:type="dxa"/>
          </w:tcPr>
          <w:p w14:paraId="3596AA33"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Los demás que prevea el título de Asignación correspondiente y sus anexos.</w:t>
            </w:r>
          </w:p>
        </w:tc>
        <w:tc>
          <w:tcPr>
            <w:tcW w:w="4649" w:type="dxa"/>
          </w:tcPr>
          <w:p w14:paraId="081B814F" w14:textId="410AA2D2"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Others provided for in the corresponding Assignment title and its annexes.</w:t>
            </w:r>
          </w:p>
        </w:tc>
      </w:tr>
      <w:tr w:rsidR="009849AC" w:rsidRPr="002314E3" w14:paraId="60DDE6B2" w14:textId="223C600F" w:rsidTr="00F867DE">
        <w:tc>
          <w:tcPr>
            <w:tcW w:w="4711" w:type="dxa"/>
          </w:tcPr>
          <w:p w14:paraId="1E98A425"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Petróleos Mexicanos puede someter a consideración de la Secretaría, en cualquier momento, la modificación de los Términos Técnicos y Operativos del título de Asignación.</w:t>
            </w:r>
          </w:p>
        </w:tc>
        <w:tc>
          <w:tcPr>
            <w:tcW w:w="4649" w:type="dxa"/>
          </w:tcPr>
          <w:p w14:paraId="013DE74F" w14:textId="09CAFAF1"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Petróleos Mexicanos may submit to the Secretary, at any time, modifications to the Technical and Operational Terms of the Assignment title.</w:t>
            </w:r>
          </w:p>
        </w:tc>
      </w:tr>
      <w:tr w:rsidR="009849AC" w:rsidRPr="002314E3" w14:paraId="55A8D985" w14:textId="3EDF7C98" w:rsidTr="00F867DE">
        <w:tc>
          <w:tcPr>
            <w:tcW w:w="4711" w:type="dxa"/>
          </w:tcPr>
          <w:p w14:paraId="3BE830E7"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En los casos en que la Secretaría determine de oficio la modificación de una Asignación para Desarrollo Propio, debe notificar a la persona Asignataria el inicio del procedimiento de modificación, conforme a la Ley Federal de Procedimiento Administrativo, a efecto de que, en un plazo de diez días hábiles manifieste lo que a su derecho convenga, así como para que entregue la documentación soporte y demás elementos que considere convenientes.</w:t>
            </w:r>
            <w:bookmarkEnd w:id="7"/>
          </w:p>
        </w:tc>
        <w:tc>
          <w:tcPr>
            <w:tcW w:w="4649" w:type="dxa"/>
          </w:tcPr>
          <w:p w14:paraId="1EBBA438" w14:textId="12493281"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 xml:space="preserve">In cases where the Secretary determines </w:t>
            </w:r>
            <w:r w:rsidRPr="00837D4A">
              <w:rPr>
                <w:rFonts w:ascii="Verdana" w:hAnsi="Verdana"/>
                <w:i/>
                <w:iCs/>
                <w:sz w:val="16"/>
                <w:szCs w:val="16"/>
                <w:lang w:val="en-US"/>
              </w:rPr>
              <w:t>ex officio</w:t>
            </w:r>
            <w:r w:rsidRPr="00837D4A">
              <w:rPr>
                <w:rFonts w:ascii="Verdana" w:hAnsi="Verdana"/>
                <w:sz w:val="16"/>
                <w:szCs w:val="16"/>
                <w:lang w:val="en-US"/>
              </w:rPr>
              <w:t xml:space="preserve"> the modification of an Assignment for Self-Development, it must notify the Assignee of the initiation of the modification procedure, in accordance with the Federal Law of Administrative Procedure, so that, within a period of ten business days, they may state what is appropriate to their rights, as well as to deliver the supporting documentation and other elements that they consider appropriate.</w:t>
            </w:r>
          </w:p>
        </w:tc>
      </w:tr>
      <w:tr w:rsidR="009849AC" w:rsidRPr="002314E3" w14:paraId="260826F8" w14:textId="1F97C4D9" w:rsidTr="00F867DE">
        <w:tc>
          <w:tcPr>
            <w:tcW w:w="4711" w:type="dxa"/>
          </w:tcPr>
          <w:p w14:paraId="49ADA7B8"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Artículo 30.</w:t>
            </w:r>
            <w:r w:rsidRPr="00837D4A">
              <w:rPr>
                <w:rFonts w:ascii="Verdana" w:hAnsi="Verdana"/>
                <w:sz w:val="16"/>
                <w:szCs w:val="16"/>
              </w:rPr>
              <w:t xml:space="preserve"> Para efectos de lo establecido en el artículo 15 de la Ley, la persona Asignataria debe presentar a la Secretaría los planes y programas modificados correspondientes para su aprobación, en los términos de la Normatividad aplicable, así como el formato de solicitud autorizado por la Secretaría debidamente requisitado.</w:t>
            </w:r>
          </w:p>
        </w:tc>
        <w:tc>
          <w:tcPr>
            <w:tcW w:w="4649" w:type="dxa"/>
          </w:tcPr>
          <w:p w14:paraId="1C677DC5" w14:textId="1E63DB4A"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Article 30. </w:t>
            </w:r>
            <w:r w:rsidRPr="00837D4A">
              <w:rPr>
                <w:rFonts w:ascii="Verdana" w:hAnsi="Verdana"/>
                <w:sz w:val="16"/>
                <w:szCs w:val="16"/>
                <w:lang w:val="en-US"/>
              </w:rPr>
              <w:t>For the purposes of the provisions of Article 15 of the Law, the Assignee must submit to the Secretary the corresponding modified plans and programs for approval, in accordance with the applicable legislation, as well as the application form authorized by the Secretary duly completed.</w:t>
            </w:r>
          </w:p>
        </w:tc>
      </w:tr>
      <w:tr w:rsidR="009849AC" w:rsidRPr="002314E3" w14:paraId="2258B9F9" w14:textId="4950A63D" w:rsidTr="00F867DE">
        <w:tc>
          <w:tcPr>
            <w:tcW w:w="4711" w:type="dxa"/>
          </w:tcPr>
          <w:p w14:paraId="21CBCBDE"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La Secretaría debe notificar a la Secretaría de Hacienda y Crédito Público y al Fondo Mexicano del Petróleo sobre las modificaciones realizadas a una Asignación, dentro de los cinco días hábiles siguientes a que se efectúen.</w:t>
            </w:r>
          </w:p>
        </w:tc>
        <w:tc>
          <w:tcPr>
            <w:tcW w:w="4649" w:type="dxa"/>
          </w:tcPr>
          <w:p w14:paraId="36064A6D" w14:textId="358BA781"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The Secretary must notify the Secretary of Finance and Public Credit and the Mexican Petroleum Fund of any modifications made to an Assignment within five business days of their implementation.</w:t>
            </w:r>
          </w:p>
        </w:tc>
      </w:tr>
      <w:tr w:rsidR="009849AC" w:rsidRPr="00D0180E" w14:paraId="6C02ACD7" w14:textId="2A621064" w:rsidTr="00F867DE">
        <w:tc>
          <w:tcPr>
            <w:tcW w:w="4711" w:type="dxa"/>
          </w:tcPr>
          <w:p w14:paraId="40E35362" w14:textId="77777777" w:rsidR="009849AC" w:rsidRPr="00837D4A" w:rsidRDefault="009849AC" w:rsidP="009849AC">
            <w:pPr>
              <w:pStyle w:val="Texto"/>
              <w:spacing w:after="96"/>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0F1B892C" w14:textId="0007E5AE" w:rsidR="009849AC" w:rsidRPr="00837D4A" w:rsidRDefault="009849AC" w:rsidP="009849AC">
            <w:pPr>
              <w:pStyle w:val="Texto"/>
              <w:spacing w:after="96"/>
              <w:ind w:firstLine="0"/>
              <w:jc w:val="center"/>
              <w:rPr>
                <w:rFonts w:ascii="Verdana" w:hAnsi="Verdana"/>
                <w:b/>
                <w:sz w:val="16"/>
                <w:szCs w:val="16"/>
                <w:lang w:val="en-US"/>
              </w:rPr>
            </w:pPr>
            <w:proofErr w:type="spellStart"/>
            <w:r w:rsidRPr="00837D4A">
              <w:rPr>
                <w:rFonts w:ascii="Verdana" w:hAnsi="Verdana"/>
                <w:b/>
                <w:sz w:val="16"/>
                <w:szCs w:val="16"/>
              </w:rPr>
              <w:t>Second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D0180E" w14:paraId="4C4FA7FE" w14:textId="2E6A2358" w:rsidTr="00F867DE">
        <w:tc>
          <w:tcPr>
            <w:tcW w:w="4711" w:type="dxa"/>
          </w:tcPr>
          <w:p w14:paraId="3DADB6EE" w14:textId="77777777" w:rsidR="009849AC" w:rsidRPr="00837D4A" w:rsidRDefault="009849AC" w:rsidP="009849AC">
            <w:pPr>
              <w:pStyle w:val="Texto"/>
              <w:spacing w:after="96"/>
              <w:ind w:firstLine="0"/>
              <w:jc w:val="center"/>
              <w:rPr>
                <w:rFonts w:ascii="Verdana" w:hAnsi="Verdana"/>
                <w:b/>
                <w:sz w:val="16"/>
                <w:szCs w:val="16"/>
              </w:rPr>
            </w:pPr>
            <w:r w:rsidRPr="00837D4A">
              <w:rPr>
                <w:rFonts w:ascii="Verdana" w:hAnsi="Verdana"/>
                <w:b/>
                <w:sz w:val="16"/>
                <w:szCs w:val="16"/>
              </w:rPr>
              <w:t>De la Sustitución</w:t>
            </w:r>
          </w:p>
        </w:tc>
        <w:tc>
          <w:tcPr>
            <w:tcW w:w="4649" w:type="dxa"/>
          </w:tcPr>
          <w:p w14:paraId="38DAAFF3" w14:textId="378E950D" w:rsidR="009849AC" w:rsidRPr="00837D4A" w:rsidRDefault="009849AC" w:rsidP="009849AC">
            <w:pPr>
              <w:pStyle w:val="Texto"/>
              <w:spacing w:after="96"/>
              <w:ind w:firstLine="0"/>
              <w:jc w:val="center"/>
              <w:rPr>
                <w:rFonts w:ascii="Verdana" w:hAnsi="Verdana"/>
                <w:b/>
                <w:sz w:val="16"/>
                <w:szCs w:val="16"/>
                <w:lang w:val="en-US"/>
              </w:rPr>
            </w:pPr>
            <w:proofErr w:type="spellStart"/>
            <w:r w:rsidRPr="00837D4A">
              <w:rPr>
                <w:rFonts w:ascii="Verdana" w:hAnsi="Verdana"/>
                <w:b/>
                <w:sz w:val="16"/>
                <w:szCs w:val="16"/>
              </w:rPr>
              <w:t>Substitution</w:t>
            </w:r>
            <w:proofErr w:type="spellEnd"/>
          </w:p>
        </w:tc>
      </w:tr>
      <w:tr w:rsidR="009849AC" w:rsidRPr="002314E3" w14:paraId="60884405" w14:textId="389CD3F8" w:rsidTr="00F867DE">
        <w:tc>
          <w:tcPr>
            <w:tcW w:w="4711" w:type="dxa"/>
          </w:tcPr>
          <w:p w14:paraId="26ECABD1"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Artículo 31.</w:t>
            </w:r>
            <w:r w:rsidRPr="00837D4A">
              <w:rPr>
                <w:rFonts w:ascii="Verdana" w:hAnsi="Verdana"/>
                <w:sz w:val="16"/>
                <w:szCs w:val="16"/>
              </w:rPr>
              <w:t xml:space="preserve"> Para la sustitución de una Asignación para Desarrollo Propio, por una Asignación para Desarrollo Mixto, se debe observar el procedimiento establecido en el artículo 19 de este reglamento.</w:t>
            </w:r>
          </w:p>
        </w:tc>
        <w:tc>
          <w:tcPr>
            <w:tcW w:w="4649" w:type="dxa"/>
          </w:tcPr>
          <w:p w14:paraId="737CB100" w14:textId="6DAE017D"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Article 31. </w:t>
            </w:r>
            <w:r w:rsidRPr="00837D4A">
              <w:rPr>
                <w:rFonts w:ascii="Verdana" w:hAnsi="Verdana"/>
                <w:sz w:val="16"/>
                <w:szCs w:val="16"/>
                <w:lang w:val="en-US"/>
              </w:rPr>
              <w:t xml:space="preserve">To replace an Assignment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with an Assignment for Mixed Development, the procedure established in Article 19 of this regulation must be observed.</w:t>
            </w:r>
          </w:p>
        </w:tc>
      </w:tr>
      <w:tr w:rsidR="009849AC" w:rsidRPr="002314E3" w14:paraId="1784BA9C" w14:textId="119F3A06" w:rsidTr="00F867DE">
        <w:tc>
          <w:tcPr>
            <w:tcW w:w="4711" w:type="dxa"/>
          </w:tcPr>
          <w:p w14:paraId="66A65E83"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Artículo 32.</w:t>
            </w:r>
            <w:r w:rsidRPr="00837D4A">
              <w:rPr>
                <w:rFonts w:ascii="Verdana" w:hAnsi="Verdana"/>
                <w:sz w:val="16"/>
                <w:szCs w:val="16"/>
              </w:rPr>
              <w:t xml:space="preserve"> Adicionalmente a lo establecido en el artículo 25, fracción I de la Ley, Petróleos Mexicanos debe presentar lo siguiente:</w:t>
            </w:r>
          </w:p>
        </w:tc>
        <w:tc>
          <w:tcPr>
            <w:tcW w:w="4649" w:type="dxa"/>
          </w:tcPr>
          <w:p w14:paraId="2481B6BF" w14:textId="6695FF30"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Article 32. </w:t>
            </w:r>
            <w:r w:rsidRPr="00837D4A">
              <w:rPr>
                <w:rFonts w:ascii="Verdana" w:hAnsi="Verdana"/>
                <w:sz w:val="16"/>
                <w:szCs w:val="16"/>
                <w:lang w:val="en-US"/>
              </w:rPr>
              <w:t>In addition to what is established in article 25, section I of the Law, Petróleos Mexicanos must present the following:</w:t>
            </w:r>
          </w:p>
        </w:tc>
      </w:tr>
      <w:tr w:rsidR="009849AC" w:rsidRPr="002314E3" w14:paraId="0BA27D82" w14:textId="1F4C8A91" w:rsidTr="00F867DE">
        <w:tc>
          <w:tcPr>
            <w:tcW w:w="4711" w:type="dxa"/>
          </w:tcPr>
          <w:p w14:paraId="59F79F2E"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Formato autorizado debidamente requisitado con la siguiente información:</w:t>
            </w:r>
          </w:p>
        </w:tc>
        <w:tc>
          <w:tcPr>
            <w:tcW w:w="4649" w:type="dxa"/>
          </w:tcPr>
          <w:p w14:paraId="566C9399" w14:textId="236BBCAA"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Authorized form duly completed with the following information:</w:t>
            </w:r>
          </w:p>
        </w:tc>
      </w:tr>
      <w:tr w:rsidR="009849AC" w:rsidRPr="002314E3" w14:paraId="186A077D" w14:textId="1E6733E5" w:rsidTr="00F867DE">
        <w:tc>
          <w:tcPr>
            <w:tcW w:w="4711" w:type="dxa"/>
          </w:tcPr>
          <w:p w14:paraId="73B596E0"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La identificación de la Asignación o las Asignaciones;</w:t>
            </w:r>
          </w:p>
        </w:tc>
        <w:tc>
          <w:tcPr>
            <w:tcW w:w="4649" w:type="dxa"/>
          </w:tcPr>
          <w:p w14:paraId="783E8D76" w14:textId="773192A2"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The identification of the Assignment or Assignments;</w:t>
            </w:r>
          </w:p>
        </w:tc>
      </w:tr>
      <w:tr w:rsidR="009849AC" w:rsidRPr="002314E3" w14:paraId="4C553FC1" w14:textId="12C5EDB1" w:rsidTr="00F867DE">
        <w:tc>
          <w:tcPr>
            <w:tcW w:w="4711" w:type="dxa"/>
          </w:tcPr>
          <w:p w14:paraId="36AE007B"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La descripción de la superficie y la profundidad de la Asignación para Desarrollo Mixto solicitada;</w:t>
            </w:r>
          </w:p>
        </w:tc>
        <w:tc>
          <w:tcPr>
            <w:tcW w:w="4649" w:type="dxa"/>
          </w:tcPr>
          <w:p w14:paraId="4E3C62A9" w14:textId="790C3B96"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The description of the surface area and depth of the requested Mixed Development Assignment;</w:t>
            </w:r>
          </w:p>
        </w:tc>
      </w:tr>
      <w:tr w:rsidR="009849AC" w:rsidRPr="002314E3" w14:paraId="0F2106E1" w14:textId="7DA1D28B" w:rsidTr="00F867DE">
        <w:tc>
          <w:tcPr>
            <w:tcW w:w="4711" w:type="dxa"/>
          </w:tcPr>
          <w:p w14:paraId="7D7BBD7B"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En caso de existir, la infraestructura existente en el Área de Asignación y su estado operativo;</w:t>
            </w:r>
          </w:p>
        </w:tc>
        <w:tc>
          <w:tcPr>
            <w:tcW w:w="4649" w:type="dxa"/>
          </w:tcPr>
          <w:p w14:paraId="441726F1" w14:textId="7B9166B2"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If existing, the existing infrastructure in the Assignment area and its operational status;</w:t>
            </w:r>
          </w:p>
        </w:tc>
      </w:tr>
      <w:tr w:rsidR="009849AC" w:rsidRPr="002314E3" w14:paraId="1E5FFFED" w14:textId="473DBC8C" w:rsidTr="00F867DE">
        <w:tc>
          <w:tcPr>
            <w:tcW w:w="4711" w:type="dxa"/>
          </w:tcPr>
          <w:p w14:paraId="0111AE7F"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lastRenderedPageBreak/>
              <w:t>d)</w:t>
            </w:r>
            <w:r w:rsidRPr="00837D4A">
              <w:rPr>
                <w:rFonts w:ascii="Verdana" w:hAnsi="Verdana"/>
                <w:b/>
                <w:sz w:val="16"/>
                <w:szCs w:val="16"/>
              </w:rPr>
              <w:tab/>
            </w:r>
            <w:r w:rsidRPr="00837D4A">
              <w:rPr>
                <w:rFonts w:ascii="Verdana" w:hAnsi="Verdana"/>
                <w:sz w:val="16"/>
                <w:szCs w:val="16"/>
              </w:rPr>
              <w:t>En su caso, la evaluación del potencial identificado en la Asignación con derechos de Exploración;</w:t>
            </w:r>
          </w:p>
        </w:tc>
        <w:tc>
          <w:tcPr>
            <w:tcW w:w="4649" w:type="dxa"/>
          </w:tcPr>
          <w:p w14:paraId="26772E43" w14:textId="6B608E61"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Where applicable, the evaluation of the potential identified in the Assignment with Exploration rights;</w:t>
            </w:r>
          </w:p>
        </w:tc>
      </w:tr>
      <w:tr w:rsidR="009849AC" w:rsidRPr="002314E3" w14:paraId="203636C4" w14:textId="45368D4B" w:rsidTr="00F867DE">
        <w:tc>
          <w:tcPr>
            <w:tcW w:w="4711" w:type="dxa"/>
          </w:tcPr>
          <w:p w14:paraId="63E9ED01"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En su caso, la producción base y la incremental de Hidrocarburos, desglosada en Petróleo, Gas Natural Asociado, Gas Natural no Asociado y Condensados;</w:t>
            </w:r>
          </w:p>
        </w:tc>
        <w:tc>
          <w:tcPr>
            <w:tcW w:w="4649" w:type="dxa"/>
          </w:tcPr>
          <w:p w14:paraId="58D73EA0" w14:textId="580739F1"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Where applicable, the base and incremental production of Hydrocarbons, broken down into Petroleum, Associated Natural Gas, Non-Associated Natural Gas and Condensates;</w:t>
            </w:r>
          </w:p>
        </w:tc>
      </w:tr>
      <w:tr w:rsidR="009849AC" w:rsidRPr="002314E3" w14:paraId="523678A2" w14:textId="548A6BCC" w:rsidTr="00F867DE">
        <w:tc>
          <w:tcPr>
            <w:tcW w:w="4711" w:type="dxa"/>
          </w:tcPr>
          <w:p w14:paraId="5ADFAE81"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La posibilidad de incorporar Reservas adicionales;</w:t>
            </w:r>
          </w:p>
        </w:tc>
        <w:tc>
          <w:tcPr>
            <w:tcW w:w="4649" w:type="dxa"/>
          </w:tcPr>
          <w:p w14:paraId="5D564B9F" w14:textId="10B02B1E"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The possibility of incorporating additional Reserves;</w:t>
            </w:r>
          </w:p>
        </w:tc>
      </w:tr>
      <w:tr w:rsidR="009849AC" w:rsidRPr="002314E3" w14:paraId="4658891E" w14:textId="529FFCC9" w:rsidTr="00F867DE">
        <w:tc>
          <w:tcPr>
            <w:tcW w:w="4711" w:type="dxa"/>
          </w:tcPr>
          <w:p w14:paraId="0EBEBCAA"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g)</w:t>
            </w:r>
            <w:r w:rsidRPr="00837D4A">
              <w:rPr>
                <w:rFonts w:ascii="Verdana" w:hAnsi="Verdana"/>
                <w:b/>
                <w:sz w:val="16"/>
                <w:szCs w:val="16"/>
              </w:rPr>
              <w:tab/>
            </w:r>
            <w:r w:rsidRPr="00837D4A">
              <w:rPr>
                <w:rFonts w:ascii="Verdana" w:hAnsi="Verdana"/>
                <w:sz w:val="16"/>
                <w:szCs w:val="16"/>
              </w:rPr>
              <w:t>Los Términos Técnicos y Operativos de la Asignación;</w:t>
            </w:r>
          </w:p>
        </w:tc>
        <w:tc>
          <w:tcPr>
            <w:tcW w:w="4649" w:type="dxa"/>
          </w:tcPr>
          <w:p w14:paraId="5EB185AE" w14:textId="5172CAC8"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g) </w:t>
            </w:r>
            <w:r w:rsidRPr="00837D4A">
              <w:rPr>
                <w:rFonts w:ascii="Verdana" w:hAnsi="Verdana"/>
                <w:b/>
                <w:sz w:val="16"/>
                <w:szCs w:val="16"/>
                <w:lang w:val="en-US"/>
              </w:rPr>
              <w:tab/>
            </w:r>
            <w:r w:rsidRPr="00837D4A">
              <w:rPr>
                <w:rFonts w:ascii="Verdana" w:hAnsi="Verdana"/>
                <w:sz w:val="16"/>
                <w:szCs w:val="16"/>
                <w:lang w:val="en-US"/>
              </w:rPr>
              <w:t>The Technical and Operational Terms of the Assignment;</w:t>
            </w:r>
          </w:p>
        </w:tc>
      </w:tr>
      <w:tr w:rsidR="009849AC" w:rsidRPr="002314E3" w14:paraId="54E0B9CE" w14:textId="5B625C2B" w:rsidTr="00F867DE">
        <w:tc>
          <w:tcPr>
            <w:tcW w:w="4711" w:type="dxa"/>
          </w:tcPr>
          <w:p w14:paraId="4D91290D"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h)</w:t>
            </w:r>
            <w:r w:rsidRPr="00837D4A">
              <w:rPr>
                <w:rFonts w:ascii="Verdana" w:hAnsi="Verdana"/>
                <w:b/>
                <w:sz w:val="16"/>
                <w:szCs w:val="16"/>
              </w:rPr>
              <w:tab/>
            </w:r>
            <w:r w:rsidRPr="00837D4A">
              <w:rPr>
                <w:rFonts w:ascii="Verdana" w:hAnsi="Verdana"/>
                <w:sz w:val="16"/>
                <w:szCs w:val="16"/>
              </w:rPr>
              <w:t>La propuesta de compromiso mínimo de trabajo, e</w:t>
            </w:r>
          </w:p>
        </w:tc>
        <w:tc>
          <w:tcPr>
            <w:tcW w:w="4649" w:type="dxa"/>
          </w:tcPr>
          <w:p w14:paraId="6776D667" w14:textId="3BDA2CEE"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h) </w:t>
            </w:r>
            <w:r w:rsidRPr="00837D4A">
              <w:rPr>
                <w:rFonts w:ascii="Verdana" w:hAnsi="Verdana"/>
                <w:b/>
                <w:sz w:val="16"/>
                <w:szCs w:val="16"/>
                <w:lang w:val="en-US"/>
              </w:rPr>
              <w:tab/>
            </w:r>
            <w:r w:rsidRPr="00837D4A">
              <w:rPr>
                <w:rFonts w:ascii="Verdana" w:hAnsi="Verdana"/>
                <w:sz w:val="16"/>
                <w:szCs w:val="16"/>
                <w:lang w:val="en-US"/>
              </w:rPr>
              <w:t>The proposal for minimum work commitment, and</w:t>
            </w:r>
          </w:p>
        </w:tc>
      </w:tr>
      <w:tr w:rsidR="009849AC" w:rsidRPr="002314E3" w14:paraId="0A08C6EA" w14:textId="550C2620" w:rsidTr="00F867DE">
        <w:tc>
          <w:tcPr>
            <w:tcW w:w="4711" w:type="dxa"/>
          </w:tcPr>
          <w:p w14:paraId="4C44E4C2"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Cualquier otra que Petróleos Mexicanos considere necesaria para justificar la solicitud conforme a la Normatividad aplicable.</w:t>
            </w:r>
          </w:p>
        </w:tc>
        <w:tc>
          <w:tcPr>
            <w:tcW w:w="4649" w:type="dxa"/>
          </w:tcPr>
          <w:p w14:paraId="4E1F8B5E" w14:textId="78DBC189" w:rsidR="009849AC" w:rsidRPr="00837D4A" w:rsidRDefault="009849AC" w:rsidP="009849AC">
            <w:pPr>
              <w:pStyle w:val="Texto"/>
              <w:spacing w:line="221" w:lineRule="exact"/>
              <w:ind w:firstLine="0"/>
              <w:rPr>
                <w:rFonts w:ascii="Verdana" w:hAnsi="Verdana"/>
                <w:b/>
                <w:sz w:val="16"/>
                <w:szCs w:val="16"/>
                <w:lang w:val="en-US"/>
              </w:rPr>
            </w:pPr>
            <w:proofErr w:type="spellStart"/>
            <w:r w:rsidRPr="00837D4A">
              <w:rPr>
                <w:rFonts w:ascii="Verdana" w:hAnsi="Verdana"/>
                <w:b/>
                <w:sz w:val="16"/>
                <w:szCs w:val="16"/>
                <w:lang w:val="en-US"/>
              </w:rPr>
              <w:t>i</w:t>
            </w:r>
            <w:proofErr w:type="spellEnd"/>
            <w:r w:rsidRPr="00837D4A">
              <w:rPr>
                <w:rFonts w:ascii="Verdana" w:hAnsi="Verdana"/>
                <w:b/>
                <w:sz w:val="16"/>
                <w:szCs w:val="16"/>
                <w:lang w:val="en-US"/>
              </w:rPr>
              <w:t xml:space="preserve">) </w:t>
            </w:r>
            <w:r w:rsidRPr="00837D4A">
              <w:rPr>
                <w:rFonts w:ascii="Verdana" w:hAnsi="Verdana"/>
                <w:b/>
                <w:sz w:val="16"/>
                <w:szCs w:val="16"/>
                <w:lang w:val="en-US"/>
              </w:rPr>
              <w:tab/>
            </w:r>
            <w:r w:rsidRPr="00837D4A">
              <w:rPr>
                <w:rFonts w:ascii="Verdana" w:hAnsi="Verdana"/>
                <w:sz w:val="16"/>
                <w:szCs w:val="16"/>
                <w:lang w:val="en-US"/>
              </w:rPr>
              <w:t>Any other that Petróleos Mexicanos considers necessary to justify the request in accordance with applicable legislation.</w:t>
            </w:r>
          </w:p>
        </w:tc>
      </w:tr>
      <w:tr w:rsidR="009849AC" w:rsidRPr="002314E3" w14:paraId="2652BFDA" w14:textId="2B3264A6" w:rsidTr="00F867DE">
        <w:tc>
          <w:tcPr>
            <w:tcW w:w="4711" w:type="dxa"/>
          </w:tcPr>
          <w:p w14:paraId="0DC3A9B8"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Propuesta de programa de transición que debe cumplir con los requisitos establecidos en la Normatividad aplicable, y contener al menos los siguientes elementos:</w:t>
            </w:r>
          </w:p>
        </w:tc>
        <w:tc>
          <w:tcPr>
            <w:tcW w:w="4649" w:type="dxa"/>
          </w:tcPr>
          <w:p w14:paraId="474C036E" w14:textId="0D896336"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Proposed transition program that must meet the requirements established in the applicable legislation and contain at least the following elements:</w:t>
            </w:r>
          </w:p>
        </w:tc>
      </w:tr>
      <w:tr w:rsidR="009849AC" w:rsidRPr="002314E3" w14:paraId="68C3F04C" w14:textId="4A2C659B" w:rsidTr="00F867DE">
        <w:tc>
          <w:tcPr>
            <w:tcW w:w="4711" w:type="dxa"/>
          </w:tcPr>
          <w:p w14:paraId="4F96D706"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Objetivo y alcance del programa;</w:t>
            </w:r>
          </w:p>
        </w:tc>
        <w:tc>
          <w:tcPr>
            <w:tcW w:w="4649" w:type="dxa"/>
          </w:tcPr>
          <w:p w14:paraId="2442D290" w14:textId="6604D599"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Objective and scope of the program;</w:t>
            </w:r>
          </w:p>
        </w:tc>
      </w:tr>
      <w:tr w:rsidR="009849AC" w:rsidRPr="002314E3" w14:paraId="0826ADC0" w14:textId="32949D54" w:rsidTr="00F867DE">
        <w:tc>
          <w:tcPr>
            <w:tcW w:w="4711" w:type="dxa"/>
          </w:tcPr>
          <w:p w14:paraId="3FE67BC3"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Cronograma de actividades correspondiente;</w:t>
            </w:r>
          </w:p>
        </w:tc>
        <w:tc>
          <w:tcPr>
            <w:tcW w:w="4649" w:type="dxa"/>
          </w:tcPr>
          <w:p w14:paraId="0A647024" w14:textId="62834B1C"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Corresponding schedule of activities;</w:t>
            </w:r>
          </w:p>
        </w:tc>
      </w:tr>
      <w:tr w:rsidR="009849AC" w:rsidRPr="002314E3" w14:paraId="2AE80D94" w14:textId="4A2ED9A3" w:rsidTr="00F867DE">
        <w:tc>
          <w:tcPr>
            <w:tcW w:w="4711" w:type="dxa"/>
          </w:tcPr>
          <w:p w14:paraId="4EE46448"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Pronósticos de producción, desglosado por tipo de Hidrocarburo;</w:t>
            </w:r>
          </w:p>
        </w:tc>
        <w:tc>
          <w:tcPr>
            <w:tcW w:w="4649" w:type="dxa"/>
          </w:tcPr>
          <w:p w14:paraId="026023C7" w14:textId="61E56D07"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Production forecasts, broken down by type of Hydrocarbon;</w:t>
            </w:r>
          </w:p>
        </w:tc>
      </w:tr>
      <w:tr w:rsidR="009849AC" w:rsidRPr="002314E3" w14:paraId="5985A799" w14:textId="3D492970" w:rsidTr="00F867DE">
        <w:tc>
          <w:tcPr>
            <w:tcW w:w="4711" w:type="dxa"/>
          </w:tcPr>
          <w:p w14:paraId="235D9E11"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En su caso, el aprovechamiento de Gas Natural, y</w:t>
            </w:r>
          </w:p>
        </w:tc>
        <w:tc>
          <w:tcPr>
            <w:tcW w:w="4649" w:type="dxa"/>
          </w:tcPr>
          <w:p w14:paraId="3AC7849B" w14:textId="3994890C"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Where appropriate, the use of Natural Gas, and</w:t>
            </w:r>
          </w:p>
        </w:tc>
      </w:tr>
      <w:tr w:rsidR="009849AC" w:rsidRPr="002314E3" w14:paraId="58CFA927" w14:textId="133713C4" w:rsidTr="00F867DE">
        <w:tc>
          <w:tcPr>
            <w:tcW w:w="4711" w:type="dxa"/>
          </w:tcPr>
          <w:p w14:paraId="777B85F9"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El costo total de dichas actividades para la vigencia del mismo, desglosado por actividad petrolera.</w:t>
            </w:r>
          </w:p>
        </w:tc>
        <w:tc>
          <w:tcPr>
            <w:tcW w:w="4649" w:type="dxa"/>
          </w:tcPr>
          <w:p w14:paraId="42FDF76E" w14:textId="125A7398"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The total cost of said activities for the duration of the contract, broken down by oil activity.</w:t>
            </w:r>
          </w:p>
        </w:tc>
      </w:tr>
      <w:tr w:rsidR="009849AC" w:rsidRPr="002314E3" w14:paraId="58CF7C80" w14:textId="240A1DC4" w:rsidTr="00F867DE">
        <w:tc>
          <w:tcPr>
            <w:tcW w:w="4711" w:type="dxa"/>
          </w:tcPr>
          <w:p w14:paraId="31991536"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Artículo 33.</w:t>
            </w:r>
            <w:r w:rsidRPr="00837D4A">
              <w:rPr>
                <w:rFonts w:ascii="Verdana" w:hAnsi="Verdana"/>
                <w:sz w:val="16"/>
                <w:szCs w:val="16"/>
              </w:rPr>
              <w:t xml:space="preserve"> La Secretaría debe resolver sobre la sustitución de las Asignaciones para Desarrollo Propio por Asignaciones para Desarrollo Mixto dentro de los sesenta días hábiles siguientes a la admisión de la solicitud de Petróleos Mexicanos, conforme al procedimiento establecido en el artículo 19 de este reglamento.</w:t>
            </w:r>
          </w:p>
        </w:tc>
        <w:tc>
          <w:tcPr>
            <w:tcW w:w="4649" w:type="dxa"/>
          </w:tcPr>
          <w:p w14:paraId="3324A3C6" w14:textId="7D817673"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Article 33. </w:t>
            </w:r>
            <w:r w:rsidRPr="00837D4A">
              <w:rPr>
                <w:rFonts w:ascii="Verdana" w:hAnsi="Verdana"/>
                <w:sz w:val="16"/>
                <w:szCs w:val="16"/>
                <w:lang w:val="en-US"/>
              </w:rPr>
              <w:t xml:space="preserve">The Secretary must decide on the replacement of the Assignments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with Assignments for Mixed Development within sixty business days following the admission of the request from Petróleos Mexicanos, in accordance with the procedure established in Article 19 of this regulation.</w:t>
            </w:r>
          </w:p>
        </w:tc>
      </w:tr>
      <w:tr w:rsidR="009849AC" w:rsidRPr="002314E3" w14:paraId="27A2B9C6" w14:textId="1FABA5EB" w:rsidTr="00F867DE">
        <w:tc>
          <w:tcPr>
            <w:tcW w:w="4711" w:type="dxa"/>
          </w:tcPr>
          <w:p w14:paraId="2AE82A12"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sz w:val="16"/>
                <w:szCs w:val="16"/>
              </w:rPr>
              <w:t>En caso de que el trámite sea desechado, la Asignación para Desarrollo Propio debe continuar en los términos existentes previos a la solicitud de sustitución desechada. Sin perjuicio de lo anterior, quedan a salvo los derechos de la persona Asignataria para presentar una nueva solicitud.</w:t>
            </w:r>
          </w:p>
        </w:tc>
        <w:tc>
          <w:tcPr>
            <w:tcW w:w="4649" w:type="dxa"/>
          </w:tcPr>
          <w:p w14:paraId="1708EAAF" w14:textId="38D2B2AC" w:rsidR="009849AC" w:rsidRPr="00837D4A" w:rsidRDefault="009849AC" w:rsidP="009849AC">
            <w:pPr>
              <w:pStyle w:val="Texto"/>
              <w:spacing w:line="221" w:lineRule="exact"/>
              <w:ind w:firstLine="0"/>
              <w:rPr>
                <w:rFonts w:ascii="Verdana" w:hAnsi="Verdana"/>
                <w:sz w:val="16"/>
                <w:szCs w:val="16"/>
                <w:lang w:val="en-US"/>
              </w:rPr>
            </w:pPr>
            <w:r w:rsidRPr="00837D4A">
              <w:rPr>
                <w:rFonts w:ascii="Verdana" w:hAnsi="Verdana"/>
                <w:sz w:val="16"/>
                <w:szCs w:val="16"/>
                <w:lang w:val="en-US"/>
              </w:rPr>
              <w:t>If the application is rejected, the Self-Development Allowance must continue under the terms that existed prior to the rejected replacement application. Notwithstanding the foregoing, the recipient's right to submit a new application remains intact.</w:t>
            </w:r>
          </w:p>
        </w:tc>
      </w:tr>
      <w:tr w:rsidR="009849AC" w:rsidRPr="002314E3" w14:paraId="10C1741B" w14:textId="4C200BE6" w:rsidTr="00F867DE">
        <w:tc>
          <w:tcPr>
            <w:tcW w:w="4711" w:type="dxa"/>
          </w:tcPr>
          <w:p w14:paraId="28BDB47A"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sz w:val="16"/>
                <w:szCs w:val="16"/>
              </w:rPr>
              <w:t>La sustitución de la Asignación para Desarrollo Propio por Asignación para Desarrollo Mixto no exime a la persona Asignataria del cumplimiento de las obligaciones que a la fecha de la solicitud tenga en materia ambiental, social, fiscal y de contenido nacional.</w:t>
            </w:r>
          </w:p>
        </w:tc>
        <w:tc>
          <w:tcPr>
            <w:tcW w:w="4649" w:type="dxa"/>
          </w:tcPr>
          <w:p w14:paraId="0475459C" w14:textId="1AB0A423" w:rsidR="009849AC" w:rsidRPr="00837D4A" w:rsidRDefault="009849AC" w:rsidP="009849AC">
            <w:pPr>
              <w:pStyle w:val="Texto"/>
              <w:spacing w:line="221" w:lineRule="exact"/>
              <w:ind w:firstLine="0"/>
              <w:rPr>
                <w:rFonts w:ascii="Verdana" w:hAnsi="Verdana"/>
                <w:sz w:val="16"/>
                <w:szCs w:val="16"/>
                <w:lang w:val="en-US"/>
              </w:rPr>
            </w:pPr>
            <w:r w:rsidRPr="00837D4A">
              <w:rPr>
                <w:rFonts w:ascii="Verdana" w:hAnsi="Verdana"/>
                <w:sz w:val="16"/>
                <w:szCs w:val="16"/>
                <w:lang w:val="en-US"/>
              </w:rPr>
              <w:t xml:space="preserve">The replacement of the Assignment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with an Assignment for Mixed Development does not exempt the Assignee from compliance with the obligations that they have at the date of the application in environmental, social, fiscal and national content matters.</w:t>
            </w:r>
          </w:p>
        </w:tc>
      </w:tr>
      <w:tr w:rsidR="009849AC" w:rsidRPr="002314E3" w14:paraId="7320786A" w14:textId="21FC16FD" w:rsidTr="00F867DE">
        <w:tc>
          <w:tcPr>
            <w:tcW w:w="4711" w:type="dxa"/>
          </w:tcPr>
          <w:p w14:paraId="688FE3BB"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sz w:val="16"/>
                <w:szCs w:val="16"/>
              </w:rPr>
              <w:t>La Secretaría debe notificar a la Secretaría de Hacienda y Crédito Público y al Fondo Mexicano del Petróleo sobre las sustituciones realizadas a una Asignación, dentro de los cinco días hábiles siguientes a que se efectúen.</w:t>
            </w:r>
          </w:p>
        </w:tc>
        <w:tc>
          <w:tcPr>
            <w:tcW w:w="4649" w:type="dxa"/>
          </w:tcPr>
          <w:p w14:paraId="5F0AACEB" w14:textId="35175F85" w:rsidR="009849AC" w:rsidRPr="00837D4A" w:rsidRDefault="009849AC" w:rsidP="009849AC">
            <w:pPr>
              <w:pStyle w:val="Texto"/>
              <w:spacing w:line="221" w:lineRule="exact"/>
              <w:ind w:firstLine="0"/>
              <w:rPr>
                <w:rFonts w:ascii="Verdana" w:hAnsi="Verdana"/>
                <w:sz w:val="16"/>
                <w:szCs w:val="16"/>
                <w:lang w:val="en-US"/>
              </w:rPr>
            </w:pPr>
            <w:r w:rsidRPr="00837D4A">
              <w:rPr>
                <w:rFonts w:ascii="Verdana" w:hAnsi="Verdana"/>
                <w:sz w:val="16"/>
                <w:szCs w:val="16"/>
                <w:lang w:val="en-US"/>
              </w:rPr>
              <w:t>The Secretary must notify the Secretary of Finance and Public Credit and the Mexican Petroleum Fund of any substitutions made to an Assignment within five business days of their implementation.</w:t>
            </w:r>
          </w:p>
        </w:tc>
      </w:tr>
      <w:tr w:rsidR="009849AC" w:rsidRPr="00D0180E" w14:paraId="1F829552" w14:textId="37989860" w:rsidTr="00F867DE">
        <w:tc>
          <w:tcPr>
            <w:tcW w:w="4711" w:type="dxa"/>
          </w:tcPr>
          <w:p w14:paraId="3FB86189" w14:textId="77777777" w:rsidR="009849AC" w:rsidRPr="00837D4A" w:rsidRDefault="009849AC" w:rsidP="009849AC">
            <w:pPr>
              <w:pStyle w:val="Texto"/>
              <w:spacing w:line="221" w:lineRule="exact"/>
              <w:ind w:firstLine="0"/>
              <w:jc w:val="center"/>
              <w:rPr>
                <w:rFonts w:ascii="Verdana" w:hAnsi="Verdana"/>
                <w:b/>
                <w:sz w:val="16"/>
                <w:szCs w:val="16"/>
              </w:rPr>
            </w:pPr>
            <w:bookmarkStart w:id="8" w:name="N_Hlk205565918"/>
            <w:r w:rsidRPr="00837D4A">
              <w:rPr>
                <w:rFonts w:ascii="Verdana" w:hAnsi="Verdana"/>
                <w:b/>
                <w:sz w:val="16"/>
                <w:szCs w:val="16"/>
              </w:rPr>
              <w:lastRenderedPageBreak/>
              <w:t>Capítulo IV</w:t>
            </w:r>
          </w:p>
        </w:tc>
        <w:tc>
          <w:tcPr>
            <w:tcW w:w="4649" w:type="dxa"/>
          </w:tcPr>
          <w:p w14:paraId="741A6F04" w14:textId="3E31ECBE" w:rsidR="009849AC" w:rsidRPr="00837D4A" w:rsidRDefault="009849AC" w:rsidP="009849AC">
            <w:pPr>
              <w:pStyle w:val="Texto"/>
              <w:spacing w:line="221"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IV</w:t>
            </w:r>
          </w:p>
        </w:tc>
      </w:tr>
      <w:tr w:rsidR="009849AC" w:rsidRPr="000513DC" w14:paraId="7AC4F6EA" w14:textId="3521EBFB" w:rsidTr="00F867DE">
        <w:tc>
          <w:tcPr>
            <w:tcW w:w="4711" w:type="dxa"/>
          </w:tcPr>
          <w:p w14:paraId="6FA72861" w14:textId="77777777" w:rsidR="009849AC" w:rsidRPr="00837D4A" w:rsidRDefault="009849AC" w:rsidP="009849AC">
            <w:pPr>
              <w:pStyle w:val="Texto"/>
              <w:spacing w:line="221" w:lineRule="exact"/>
              <w:ind w:firstLine="0"/>
              <w:jc w:val="center"/>
              <w:rPr>
                <w:rFonts w:ascii="Verdana" w:hAnsi="Verdana"/>
                <w:b/>
                <w:sz w:val="16"/>
                <w:szCs w:val="16"/>
              </w:rPr>
            </w:pPr>
            <w:r w:rsidRPr="00837D4A">
              <w:rPr>
                <w:rFonts w:ascii="Verdana" w:hAnsi="Verdana"/>
                <w:b/>
                <w:sz w:val="16"/>
                <w:szCs w:val="16"/>
              </w:rPr>
              <w:t>De las Asignaciones para Desarrollo Mixto</w:t>
            </w:r>
          </w:p>
        </w:tc>
        <w:tc>
          <w:tcPr>
            <w:tcW w:w="4649" w:type="dxa"/>
          </w:tcPr>
          <w:p w14:paraId="7166DC04" w14:textId="283A2B76" w:rsidR="009849AC" w:rsidRPr="00837D4A" w:rsidRDefault="009849AC" w:rsidP="009849AC">
            <w:pPr>
              <w:pStyle w:val="Texto"/>
              <w:spacing w:line="221" w:lineRule="exact"/>
              <w:ind w:firstLine="0"/>
              <w:jc w:val="center"/>
              <w:rPr>
                <w:rFonts w:ascii="Verdana" w:hAnsi="Verdana"/>
                <w:b/>
                <w:sz w:val="16"/>
                <w:szCs w:val="16"/>
                <w:lang w:val="en-US"/>
              </w:rPr>
            </w:pPr>
            <w:r w:rsidRPr="00837D4A">
              <w:rPr>
                <w:rFonts w:ascii="Verdana" w:hAnsi="Verdana"/>
                <w:b/>
                <w:sz w:val="16"/>
                <w:szCs w:val="16"/>
                <w:lang w:val="en-US"/>
              </w:rPr>
              <w:t>Mixed Development Assignments</w:t>
            </w:r>
          </w:p>
        </w:tc>
      </w:tr>
      <w:tr w:rsidR="009849AC" w:rsidRPr="002314E3" w14:paraId="73631E3F" w14:textId="12136B82" w:rsidTr="00F867DE">
        <w:tc>
          <w:tcPr>
            <w:tcW w:w="4711" w:type="dxa"/>
          </w:tcPr>
          <w:p w14:paraId="71415B94"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Artículo 34.</w:t>
            </w:r>
            <w:r w:rsidRPr="00837D4A">
              <w:rPr>
                <w:rFonts w:ascii="Verdana" w:hAnsi="Verdana"/>
                <w:sz w:val="16"/>
                <w:szCs w:val="16"/>
              </w:rPr>
              <w:t xml:space="preserve"> Para efectos del proceso de otorgamiento de una nueva Asignación para Desarrollo Mixto, la Secretaría debe emitir su resolución en un plazo de hasta noventa días hábiles, contados a partir de la admisión de la solicitud, en términos de los artículos 25, fracción I de la Ley y 19 de este reglamento conforme a lo siguiente:</w:t>
            </w:r>
          </w:p>
        </w:tc>
        <w:tc>
          <w:tcPr>
            <w:tcW w:w="4649" w:type="dxa"/>
          </w:tcPr>
          <w:p w14:paraId="0E101CFE" w14:textId="5E0BDA41"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Article 34. </w:t>
            </w:r>
            <w:r w:rsidRPr="00837D4A">
              <w:rPr>
                <w:rFonts w:ascii="Verdana" w:hAnsi="Verdana"/>
                <w:sz w:val="16"/>
                <w:szCs w:val="16"/>
                <w:lang w:val="en-US"/>
              </w:rPr>
              <w:t>For the purposes of the process of granting a new Mixed Development Assignment, the Secretary must issue its resolution within a period of up to ninety business days, counted from the admission of the request, in terms of articles 25, section I of the Law and 19 of this regulation in accordance with the following:</w:t>
            </w:r>
          </w:p>
        </w:tc>
      </w:tr>
      <w:tr w:rsidR="009849AC" w:rsidRPr="002314E3" w14:paraId="6B07CC5D" w14:textId="1B34E9AF" w:rsidTr="00F867DE">
        <w:tc>
          <w:tcPr>
            <w:tcW w:w="4711" w:type="dxa"/>
          </w:tcPr>
          <w:p w14:paraId="3C8C3CDD"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identificación de la Asignación o las Asignaciones, así como la descripción de la superficie y la profundidad de la Asignación para Desarrollo Mixto solicitada;</w:t>
            </w:r>
          </w:p>
        </w:tc>
        <w:tc>
          <w:tcPr>
            <w:tcW w:w="4649" w:type="dxa"/>
          </w:tcPr>
          <w:p w14:paraId="57F594E5" w14:textId="13CFD5D1"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identification of the Assignment or Assignments, as well as the description of the surface area and depth of the requested Mixed Development Assignment;</w:t>
            </w:r>
          </w:p>
        </w:tc>
      </w:tr>
      <w:tr w:rsidR="009849AC" w:rsidRPr="002314E3" w14:paraId="70DAA9F8" w14:textId="035E097C" w:rsidTr="00F867DE">
        <w:tc>
          <w:tcPr>
            <w:tcW w:w="4711" w:type="dxa"/>
          </w:tcPr>
          <w:p w14:paraId="25380313"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Los elementos para motivar la necesidad de complementariedad técnica, operativa, de ejecución, financiera o de experiencia y para determinar sus beneficios y los resultados esperados del otorgamiento de la Asignación para Desarrollo Mixto;</w:t>
            </w:r>
          </w:p>
        </w:tc>
        <w:tc>
          <w:tcPr>
            <w:tcW w:w="4649" w:type="dxa"/>
          </w:tcPr>
          <w:p w14:paraId="499E89ED" w14:textId="6DDF7CB9"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elements to motivate the need for technical, operational, execution, financial or experience complementarity and to determine its benefits and the expected results of granting the Mixed Development Assignment;</w:t>
            </w:r>
          </w:p>
        </w:tc>
      </w:tr>
      <w:tr w:rsidR="009849AC" w:rsidRPr="002314E3" w14:paraId="0EB0D791" w14:textId="621E258F" w:rsidTr="00F867DE">
        <w:tc>
          <w:tcPr>
            <w:tcW w:w="4711" w:type="dxa"/>
          </w:tcPr>
          <w:p w14:paraId="0FB78688"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 propuesta de Términos Técnicos y Operativos para la Asignación para Desarrollo Mixto solicitada;</w:t>
            </w:r>
          </w:p>
        </w:tc>
        <w:tc>
          <w:tcPr>
            <w:tcW w:w="4649" w:type="dxa"/>
          </w:tcPr>
          <w:p w14:paraId="3993BE55" w14:textId="49DB307B"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proposed Technical and Operational Terms for the requested Mixed Development Assignment;</w:t>
            </w:r>
          </w:p>
        </w:tc>
      </w:tr>
      <w:tr w:rsidR="009849AC" w:rsidRPr="002314E3" w14:paraId="13069425" w14:textId="73F9A57B" w:rsidTr="00F867DE">
        <w:tc>
          <w:tcPr>
            <w:tcW w:w="4711" w:type="dxa"/>
          </w:tcPr>
          <w:p w14:paraId="314A8615"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identificación de Recursos Prospectivos y potencial de Hidrocarburos. En su caso, los escenarios de producción de Hidrocarburos desglosada en Petróleo, Gas Natural Asociado, Gas Natural no Asociado y Condensados y la posibilidad de incorporar Reservas adicionales;</w:t>
            </w:r>
          </w:p>
        </w:tc>
        <w:tc>
          <w:tcPr>
            <w:tcW w:w="4649" w:type="dxa"/>
          </w:tcPr>
          <w:p w14:paraId="4B4E6162" w14:textId="32337E42"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identification of prospective resources and hydrocarbon potential. Where applicable, hydrocarbon production scenarios broken down into oil, associated natural gas, non-associated natural gas, and condensates, and the possibility of incorporating additional reserves;</w:t>
            </w:r>
          </w:p>
        </w:tc>
      </w:tr>
      <w:tr w:rsidR="009849AC" w:rsidRPr="002314E3" w14:paraId="5FB4890C" w14:textId="18FAD6A1" w:rsidTr="00F867DE">
        <w:tc>
          <w:tcPr>
            <w:tcW w:w="4711" w:type="dxa"/>
          </w:tcPr>
          <w:p w14:paraId="7E6E11F9"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 manifestación sobre las capacidades que requiere complementar, y</w:t>
            </w:r>
          </w:p>
        </w:tc>
        <w:tc>
          <w:tcPr>
            <w:tcW w:w="4649" w:type="dxa"/>
          </w:tcPr>
          <w:p w14:paraId="6A0892C9" w14:textId="44F10C36"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statement of the capabilities that need to be complemented, and</w:t>
            </w:r>
          </w:p>
        </w:tc>
      </w:tr>
      <w:tr w:rsidR="009849AC" w:rsidRPr="002314E3" w14:paraId="4339BAD1" w14:textId="65F420FA" w:rsidTr="00F867DE">
        <w:tc>
          <w:tcPr>
            <w:tcW w:w="4711" w:type="dxa"/>
          </w:tcPr>
          <w:p w14:paraId="2BFA7A7C"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Cualquier otra que Petróleos Mexicanos considere necesaria para justificar la solicitud.</w:t>
            </w:r>
            <w:bookmarkEnd w:id="8"/>
          </w:p>
        </w:tc>
        <w:tc>
          <w:tcPr>
            <w:tcW w:w="4649" w:type="dxa"/>
          </w:tcPr>
          <w:p w14:paraId="61A20F9A" w14:textId="40055C39"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Any other information that Petróleos Mexicanos considers necessary to justify the request.</w:t>
            </w:r>
          </w:p>
        </w:tc>
      </w:tr>
      <w:tr w:rsidR="009849AC" w:rsidRPr="002314E3" w14:paraId="35AA14F6" w14:textId="213D7FA8" w:rsidTr="00F867DE">
        <w:tc>
          <w:tcPr>
            <w:tcW w:w="4711" w:type="dxa"/>
          </w:tcPr>
          <w:p w14:paraId="18C0C09D"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En los Términos Técnicos y Operativos de las Asignaciones para Desarrollo Mixto con derechos de Extracción, la Secretaría debe establecer la obligación de la realización de actividades conforme a un compromiso mínimo de trabajo.</w:t>
            </w:r>
          </w:p>
        </w:tc>
        <w:tc>
          <w:tcPr>
            <w:tcW w:w="4649" w:type="dxa"/>
          </w:tcPr>
          <w:p w14:paraId="4F571B69" w14:textId="794097CC"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In the Technical and Operational Terms of the Mixed Development Assignments with extraction rights, the Secretary must establish the obligation to carry out activities in accordance with a minimum work commitment.</w:t>
            </w:r>
          </w:p>
        </w:tc>
      </w:tr>
      <w:tr w:rsidR="009849AC" w:rsidRPr="002314E3" w14:paraId="7C11F821" w14:textId="5BC35AA4" w:rsidTr="00F867DE">
        <w:tc>
          <w:tcPr>
            <w:tcW w:w="4711" w:type="dxa"/>
          </w:tcPr>
          <w:p w14:paraId="58F2F79C"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Para las Asignaciones para Desarrollo Mixto con derechos de Exploración, la Secretaría puede establecer la obligación de la realización de actividades conforme a un compromiso mínimo de trabajo.</w:t>
            </w:r>
          </w:p>
        </w:tc>
        <w:tc>
          <w:tcPr>
            <w:tcW w:w="4649" w:type="dxa"/>
          </w:tcPr>
          <w:p w14:paraId="70793B10" w14:textId="7CB3946D"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For Mixed Development Assignments with exploration rights, the Secretary may establish the obligation to carry out activities in accordance with a minimum work commitment.</w:t>
            </w:r>
          </w:p>
        </w:tc>
      </w:tr>
      <w:tr w:rsidR="009849AC" w:rsidRPr="002314E3" w14:paraId="518D81FA" w14:textId="75DBCDD2" w:rsidTr="00F867DE">
        <w:tc>
          <w:tcPr>
            <w:tcW w:w="4711" w:type="dxa"/>
          </w:tcPr>
          <w:p w14:paraId="58690FBC"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Artículo 35.</w:t>
            </w:r>
            <w:r w:rsidRPr="00837D4A">
              <w:rPr>
                <w:rFonts w:ascii="Verdana" w:hAnsi="Verdana"/>
                <w:sz w:val="16"/>
                <w:szCs w:val="16"/>
              </w:rPr>
              <w:t xml:space="preserve"> En caso de que alguna persona Participante en las Asignaciones para Desarrollo Mixto sea designado como Operador Petrolero, este puede realizar todos los trámites, gestiones administrativas y regulatorias relacionados con las actividades objeto de la Asignación en cumplimiento de la Normatividad aplicable, en nombre y representación de la persona Asignataria.</w:t>
            </w:r>
          </w:p>
        </w:tc>
        <w:tc>
          <w:tcPr>
            <w:tcW w:w="4649" w:type="dxa"/>
          </w:tcPr>
          <w:p w14:paraId="0C73D89E" w14:textId="76E35FCA"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35. </w:t>
            </w:r>
            <w:r w:rsidRPr="00837D4A">
              <w:rPr>
                <w:rFonts w:ascii="Verdana" w:hAnsi="Verdana"/>
                <w:sz w:val="16"/>
                <w:szCs w:val="16"/>
                <w:lang w:val="en-US"/>
              </w:rPr>
              <w:t>In the event that any person participating in the Mixed Development Assignments is designated as a Petroleum Operator, he or she may carry out all the procedures, administrative and regulatory actions related to the activities subject to the Assignment in compliance with the applicable legislation, in the name and representation of the Assignee.</w:t>
            </w:r>
          </w:p>
        </w:tc>
      </w:tr>
      <w:tr w:rsidR="009849AC" w:rsidRPr="002314E3" w14:paraId="34E94F74" w14:textId="5349EB75" w:rsidTr="00F867DE">
        <w:tc>
          <w:tcPr>
            <w:tcW w:w="4711" w:type="dxa"/>
          </w:tcPr>
          <w:p w14:paraId="3CC03620" w14:textId="77777777" w:rsidR="009849AC" w:rsidRPr="00837D4A" w:rsidRDefault="009849AC" w:rsidP="009849AC">
            <w:pPr>
              <w:pStyle w:val="Texto"/>
              <w:spacing w:line="238" w:lineRule="exact"/>
              <w:ind w:firstLine="0"/>
              <w:rPr>
                <w:rFonts w:ascii="Verdana" w:hAnsi="Verdana"/>
                <w:color w:val="000000"/>
                <w:sz w:val="16"/>
                <w:szCs w:val="16"/>
              </w:rPr>
            </w:pPr>
            <w:r w:rsidRPr="00837D4A">
              <w:rPr>
                <w:rFonts w:ascii="Verdana" w:hAnsi="Verdana"/>
                <w:b/>
                <w:sz w:val="16"/>
                <w:szCs w:val="16"/>
              </w:rPr>
              <w:t>Artículo 36.</w:t>
            </w:r>
            <w:r w:rsidRPr="00837D4A">
              <w:rPr>
                <w:rFonts w:ascii="Verdana" w:hAnsi="Verdana"/>
                <w:sz w:val="16"/>
                <w:szCs w:val="16"/>
              </w:rPr>
              <w:t xml:space="preserve"> Para efectos del artículo 73 de la Ley, en el caso de las Asignaciones para Desarrollo Mixto, se debe entender que la persona Asignataria, así como los </w:t>
            </w:r>
            <w:r w:rsidRPr="00837D4A">
              <w:rPr>
                <w:rFonts w:ascii="Verdana" w:hAnsi="Verdana"/>
                <w:sz w:val="16"/>
                <w:szCs w:val="16"/>
              </w:rPr>
              <w:lastRenderedPageBreak/>
              <w:t>Participantes que forman parte del Contrato Mixto pueden, conforme a su interés de participación, reportar para efectos contables y financieros los beneficios esperados de dicho Contrato Mixto, siempre que se establezca de manera expresa en la Asignación o Contrato que los Hidrocarburos en el subsuelo son propiedad del Estado Mexicano.</w:t>
            </w:r>
          </w:p>
        </w:tc>
        <w:tc>
          <w:tcPr>
            <w:tcW w:w="4649" w:type="dxa"/>
          </w:tcPr>
          <w:p w14:paraId="55DABAF9" w14:textId="7AEC05B7"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36. </w:t>
            </w:r>
            <w:r w:rsidRPr="00837D4A">
              <w:rPr>
                <w:rFonts w:ascii="Verdana" w:hAnsi="Verdana"/>
                <w:sz w:val="16"/>
                <w:szCs w:val="16"/>
                <w:lang w:val="en-US"/>
              </w:rPr>
              <w:t xml:space="preserve">For the purposes of Article 73 of the Law, in the case of Mixed Development Assignments, it must be understood that the Assignee, as well as the </w:t>
            </w:r>
            <w:r w:rsidRPr="00837D4A">
              <w:rPr>
                <w:rFonts w:ascii="Verdana" w:hAnsi="Verdana"/>
                <w:sz w:val="16"/>
                <w:szCs w:val="16"/>
                <w:lang w:val="en-US"/>
              </w:rPr>
              <w:lastRenderedPageBreak/>
              <w:t>Participants that are part of the Mixed Contract, may, according to their participation interest, report for accounting and financial purposes the expected benefits of said Mixed Contract, provided that it is expressly established in the Assignment or Contract that the hydrocarbons in the subsoil are the property of the Mexican State.</w:t>
            </w:r>
          </w:p>
        </w:tc>
      </w:tr>
      <w:tr w:rsidR="009849AC" w:rsidRPr="002314E3" w14:paraId="2C948ED1" w14:textId="4343C9A2" w:rsidTr="00F867DE">
        <w:tc>
          <w:tcPr>
            <w:tcW w:w="4711" w:type="dxa"/>
          </w:tcPr>
          <w:p w14:paraId="7599E935"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lastRenderedPageBreak/>
              <w:t>Artículo 37.</w:t>
            </w:r>
            <w:r w:rsidRPr="00837D4A">
              <w:rPr>
                <w:rFonts w:ascii="Verdana" w:hAnsi="Verdana"/>
                <w:sz w:val="16"/>
                <w:szCs w:val="16"/>
              </w:rPr>
              <w:t xml:space="preserve"> En caso de terminación anticipada del Contrato Mixto, por cualquier causa, Petróleos Mexicanos debe notificar a la Secretaría, mediante el formato autorizado, su intención con respecto de realizar cualquiera de las siguientes acciones:</w:t>
            </w:r>
          </w:p>
        </w:tc>
        <w:tc>
          <w:tcPr>
            <w:tcW w:w="4649" w:type="dxa"/>
          </w:tcPr>
          <w:p w14:paraId="1A9B2A44" w14:textId="33807DC8"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37. </w:t>
            </w:r>
            <w:r w:rsidRPr="00837D4A">
              <w:rPr>
                <w:rFonts w:ascii="Verdana" w:hAnsi="Verdana"/>
                <w:sz w:val="16"/>
                <w:szCs w:val="16"/>
                <w:lang w:val="en-US"/>
              </w:rPr>
              <w:t>In the event of early termination of the Mixed Contract, for any reason, Petróleos Mexicanos must notify the Secretary, using the authorized form, of its intention to carry out any of the following actions:</w:t>
            </w:r>
          </w:p>
        </w:tc>
      </w:tr>
      <w:tr w:rsidR="009849AC" w:rsidRPr="002314E3" w14:paraId="23D2BEC3" w14:textId="4DB12115" w:rsidTr="00F867DE">
        <w:tc>
          <w:tcPr>
            <w:tcW w:w="4711" w:type="dxa"/>
          </w:tcPr>
          <w:p w14:paraId="5A37A571"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Selección de una nueva persona Participante;</w:t>
            </w:r>
          </w:p>
        </w:tc>
        <w:tc>
          <w:tcPr>
            <w:tcW w:w="4649" w:type="dxa"/>
          </w:tcPr>
          <w:p w14:paraId="1F4F0D2E" w14:textId="0EBACC40"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Selection of a new Participant;</w:t>
            </w:r>
          </w:p>
        </w:tc>
      </w:tr>
      <w:tr w:rsidR="009849AC" w:rsidRPr="002314E3" w14:paraId="2E82B7C9" w14:textId="36B95C6D" w:rsidTr="00F867DE">
        <w:tc>
          <w:tcPr>
            <w:tcW w:w="4711" w:type="dxa"/>
          </w:tcPr>
          <w:p w14:paraId="66ED0917"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Solicitar la modificación de modalidad a una Asignación para Desarrollo Propio, o</w:t>
            </w:r>
          </w:p>
        </w:tc>
        <w:tc>
          <w:tcPr>
            <w:tcW w:w="4649" w:type="dxa"/>
          </w:tcPr>
          <w:p w14:paraId="001B9CB7" w14:textId="56ED5914"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 xml:space="preserve">Request a change in modality to an Assignment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or</w:t>
            </w:r>
          </w:p>
        </w:tc>
      </w:tr>
      <w:tr w:rsidR="009849AC" w:rsidRPr="002314E3" w14:paraId="657F7CD2" w14:textId="3E57C729" w:rsidTr="00F867DE">
        <w:tc>
          <w:tcPr>
            <w:tcW w:w="4711" w:type="dxa"/>
          </w:tcPr>
          <w:p w14:paraId="67D15A3B"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Renunciar a dicha Asignación, conforme a lo previsto en el título de Asignación y el presente reglamento, así como lo previsto en la Normatividad aplicable.</w:t>
            </w:r>
          </w:p>
        </w:tc>
        <w:tc>
          <w:tcPr>
            <w:tcW w:w="4649" w:type="dxa"/>
          </w:tcPr>
          <w:p w14:paraId="48804FF4" w14:textId="7A636F73"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Renounce said Assignment, in accordance with the provisions of the Assignment title and this Regulation, as well as the provisions of the applicable legislation.</w:t>
            </w:r>
          </w:p>
        </w:tc>
      </w:tr>
      <w:tr w:rsidR="009849AC" w:rsidRPr="002314E3" w14:paraId="6629398D" w14:textId="7D88269E" w:rsidTr="00F867DE">
        <w:tc>
          <w:tcPr>
            <w:tcW w:w="4711" w:type="dxa"/>
          </w:tcPr>
          <w:p w14:paraId="66E47A00"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Para efecto de lo anterior, la persona Asignataria debe remitir la información y documentación prevista en los títulos de Asignación y demás Normatividad aplicable.</w:t>
            </w:r>
          </w:p>
        </w:tc>
        <w:tc>
          <w:tcPr>
            <w:tcW w:w="4649" w:type="dxa"/>
          </w:tcPr>
          <w:p w14:paraId="6B3E7993" w14:textId="41F83BE5"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For the purposes of the above, the Assignee must submit the information and documentation provided for in the Assignment titles and other applicable legislation.</w:t>
            </w:r>
          </w:p>
        </w:tc>
      </w:tr>
      <w:tr w:rsidR="009849AC" w:rsidRPr="00D0180E" w14:paraId="2E4465AD" w14:textId="56CAF81C" w:rsidTr="00F867DE">
        <w:tc>
          <w:tcPr>
            <w:tcW w:w="4711" w:type="dxa"/>
          </w:tcPr>
          <w:p w14:paraId="5691B11C" w14:textId="77777777" w:rsidR="009849AC" w:rsidRPr="00837D4A" w:rsidRDefault="009849AC" w:rsidP="009849AC">
            <w:pPr>
              <w:pStyle w:val="Texto"/>
              <w:spacing w:line="238" w:lineRule="exact"/>
              <w:ind w:firstLine="0"/>
              <w:jc w:val="center"/>
              <w:rPr>
                <w:rFonts w:ascii="Verdana" w:hAnsi="Verdana"/>
                <w:b/>
                <w:sz w:val="16"/>
                <w:szCs w:val="16"/>
              </w:rPr>
            </w:pPr>
            <w:r w:rsidRPr="00837D4A">
              <w:rPr>
                <w:rFonts w:ascii="Verdana" w:hAnsi="Verdana"/>
                <w:b/>
                <w:sz w:val="16"/>
                <w:szCs w:val="16"/>
              </w:rPr>
              <w:t>Sección Primera</w:t>
            </w:r>
          </w:p>
        </w:tc>
        <w:tc>
          <w:tcPr>
            <w:tcW w:w="4649" w:type="dxa"/>
          </w:tcPr>
          <w:p w14:paraId="439D1FD1" w14:textId="19FC12AF" w:rsidR="009849AC" w:rsidRPr="00837D4A" w:rsidRDefault="009849AC" w:rsidP="009849AC">
            <w:pPr>
              <w:pStyle w:val="Texto"/>
              <w:spacing w:line="238" w:lineRule="exact"/>
              <w:ind w:firstLine="0"/>
              <w:jc w:val="center"/>
              <w:rPr>
                <w:rFonts w:ascii="Verdana" w:hAnsi="Verdana"/>
                <w:b/>
                <w:sz w:val="16"/>
                <w:szCs w:val="16"/>
                <w:lang w:val="en-US"/>
              </w:rPr>
            </w:pPr>
            <w:proofErr w:type="spellStart"/>
            <w:r w:rsidRPr="00837D4A">
              <w:rPr>
                <w:rFonts w:ascii="Verdana" w:hAnsi="Verdana"/>
                <w:b/>
                <w:sz w:val="16"/>
                <w:szCs w:val="16"/>
              </w:rPr>
              <w:t>First</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D0180E" w14:paraId="63EE8EC0" w14:textId="7DDA6000" w:rsidTr="00F867DE">
        <w:tc>
          <w:tcPr>
            <w:tcW w:w="4711" w:type="dxa"/>
          </w:tcPr>
          <w:p w14:paraId="10FD63E9" w14:textId="77777777" w:rsidR="009849AC" w:rsidRPr="00837D4A" w:rsidRDefault="009849AC" w:rsidP="009849AC">
            <w:pPr>
              <w:pStyle w:val="Texto"/>
              <w:spacing w:line="238" w:lineRule="exact"/>
              <w:ind w:firstLine="0"/>
              <w:jc w:val="center"/>
              <w:rPr>
                <w:rFonts w:ascii="Verdana" w:hAnsi="Verdana"/>
                <w:b/>
                <w:sz w:val="16"/>
                <w:szCs w:val="16"/>
              </w:rPr>
            </w:pPr>
            <w:r w:rsidRPr="00837D4A">
              <w:rPr>
                <w:rFonts w:ascii="Verdana" w:hAnsi="Verdana"/>
                <w:b/>
                <w:sz w:val="16"/>
                <w:szCs w:val="16"/>
              </w:rPr>
              <w:t>De la Modificación</w:t>
            </w:r>
          </w:p>
        </w:tc>
        <w:tc>
          <w:tcPr>
            <w:tcW w:w="4649" w:type="dxa"/>
          </w:tcPr>
          <w:p w14:paraId="3DA1E05A" w14:textId="4BA44540" w:rsidR="009849AC" w:rsidRPr="00837D4A" w:rsidRDefault="009849AC" w:rsidP="009849AC">
            <w:pPr>
              <w:pStyle w:val="Texto"/>
              <w:spacing w:line="238" w:lineRule="exact"/>
              <w:ind w:firstLine="0"/>
              <w:jc w:val="center"/>
              <w:rPr>
                <w:rFonts w:ascii="Verdana" w:hAnsi="Verdana"/>
                <w:b/>
                <w:sz w:val="16"/>
                <w:szCs w:val="16"/>
                <w:lang w:val="en-US"/>
              </w:rPr>
            </w:pPr>
            <w:proofErr w:type="spellStart"/>
            <w:r w:rsidRPr="00837D4A">
              <w:rPr>
                <w:rFonts w:ascii="Verdana" w:hAnsi="Verdana"/>
                <w:b/>
                <w:sz w:val="16"/>
                <w:szCs w:val="16"/>
              </w:rPr>
              <w:t>Modification</w:t>
            </w:r>
            <w:proofErr w:type="spellEnd"/>
          </w:p>
        </w:tc>
      </w:tr>
      <w:tr w:rsidR="009849AC" w:rsidRPr="002314E3" w14:paraId="2FFF5C82" w14:textId="0628BC62" w:rsidTr="00F867DE">
        <w:tc>
          <w:tcPr>
            <w:tcW w:w="4711" w:type="dxa"/>
          </w:tcPr>
          <w:p w14:paraId="51E742ED"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Artículo 38.</w:t>
            </w:r>
            <w:r w:rsidRPr="00837D4A">
              <w:rPr>
                <w:rFonts w:ascii="Verdana" w:hAnsi="Verdana"/>
                <w:sz w:val="16"/>
                <w:szCs w:val="16"/>
              </w:rPr>
              <w:t xml:space="preserve"> Excepcionalmente, la Secretaría, de oficio o a solicitud de Petróleos Mexicanos, previo consentimiento de las personas Participantes del Contrato Mixto respectivo puede modificar el título de Asignación para Desarrollo Mixto y sus anexos cuando:</w:t>
            </w:r>
          </w:p>
        </w:tc>
        <w:tc>
          <w:tcPr>
            <w:tcW w:w="4649" w:type="dxa"/>
          </w:tcPr>
          <w:p w14:paraId="63CFAD5A" w14:textId="098D3278"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38. </w:t>
            </w:r>
            <w:r w:rsidRPr="00837D4A">
              <w:rPr>
                <w:rFonts w:ascii="Verdana" w:hAnsi="Verdana"/>
                <w:sz w:val="16"/>
                <w:szCs w:val="16"/>
                <w:lang w:val="en-US"/>
              </w:rPr>
              <w:t xml:space="preserve">Exceptionally, the Secretary, </w:t>
            </w:r>
            <w:r w:rsidRPr="00837D4A">
              <w:rPr>
                <w:rFonts w:ascii="Verdana" w:hAnsi="Verdana"/>
                <w:i/>
                <w:iCs/>
                <w:sz w:val="16"/>
                <w:szCs w:val="16"/>
                <w:lang w:val="en-US"/>
              </w:rPr>
              <w:t>ex officio</w:t>
            </w:r>
            <w:r w:rsidRPr="00837D4A">
              <w:rPr>
                <w:rFonts w:ascii="Verdana" w:hAnsi="Verdana"/>
                <w:sz w:val="16"/>
                <w:szCs w:val="16"/>
                <w:lang w:val="en-US"/>
              </w:rPr>
              <w:t xml:space="preserve"> or at the request of Petróleos Mexicanos, with the prior consent of the Participants of the respective Mixed Contract, may modify the title of the Mixed Development Assignment and its annexes when:</w:t>
            </w:r>
          </w:p>
        </w:tc>
      </w:tr>
      <w:tr w:rsidR="009849AC" w:rsidRPr="002314E3" w14:paraId="1C1403A5" w14:textId="313A46EA" w:rsidTr="00F867DE">
        <w:tc>
          <w:tcPr>
            <w:tcW w:w="4711" w:type="dxa"/>
          </w:tcPr>
          <w:p w14:paraId="728CBBF8"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Por razones técnicas o económicas se requieran realizar actividades de Exploración y Extracción que superen la vigencia del título de Asignación, previa aprobación de la Secretaría;</w:t>
            </w:r>
          </w:p>
        </w:tc>
        <w:tc>
          <w:tcPr>
            <w:tcW w:w="4649" w:type="dxa"/>
          </w:tcPr>
          <w:p w14:paraId="23BF4418" w14:textId="5A50B960"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For technical or economic reasons, it is necessary to carry out Exploration and Extraction activities that exceed the validity of the Assignment title, subject to prior approval by the Secretary;</w:t>
            </w:r>
          </w:p>
        </w:tc>
      </w:tr>
      <w:tr w:rsidR="009849AC" w:rsidRPr="002314E3" w14:paraId="1685BAE3" w14:textId="7BA41253" w:rsidTr="00F867DE">
        <w:tc>
          <w:tcPr>
            <w:tcW w:w="4711" w:type="dxa"/>
          </w:tcPr>
          <w:p w14:paraId="46DC8FCE"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Se requiera ampliar, reducir o modificar el Área de Asignación, conforme a los procedimientos establecidos en el título de Asignación;</w:t>
            </w:r>
          </w:p>
        </w:tc>
        <w:tc>
          <w:tcPr>
            <w:tcW w:w="4649" w:type="dxa"/>
          </w:tcPr>
          <w:p w14:paraId="605FF08A" w14:textId="5390E8A7"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It is required to expand, reduce or modify the Assignment area, in accordance with the procedures established in the Assignment title;</w:t>
            </w:r>
          </w:p>
        </w:tc>
      </w:tr>
      <w:tr w:rsidR="009849AC" w:rsidRPr="002314E3" w14:paraId="1D700883" w14:textId="5B9BB7AC" w:rsidTr="00F867DE">
        <w:tc>
          <w:tcPr>
            <w:tcW w:w="4711" w:type="dxa"/>
          </w:tcPr>
          <w:p w14:paraId="235F6345"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Derivado de la realización de las actividades de Extracción, la persona Asignataria determina la existencia de un descubrimiento en formaciones geológicas distintas a las contempladas en el plan de desarrollo para la Extracción y solicite los derechos para realizar actividades de Exploración;</w:t>
            </w:r>
          </w:p>
        </w:tc>
        <w:tc>
          <w:tcPr>
            <w:tcW w:w="4649" w:type="dxa"/>
          </w:tcPr>
          <w:p w14:paraId="7FE21DA5" w14:textId="36971A2B"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Derived from the performance of Extraction activities, the Assignee determines the existence of a discovery in geological formations other than those contemplated in the development plan for extraction and requests the rights to carry out exploration activities;</w:t>
            </w:r>
          </w:p>
        </w:tc>
      </w:tr>
      <w:tr w:rsidR="009849AC" w:rsidRPr="002314E3" w14:paraId="1132D9D8" w14:textId="20982CD1" w:rsidTr="00F867DE">
        <w:tc>
          <w:tcPr>
            <w:tcW w:w="4711" w:type="dxa"/>
          </w:tcPr>
          <w:p w14:paraId="6E035723"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Se modifique el porcentaje mínimo de contenido nacional establecido en el título de Asignación, en caso de que se actualice la metodología que emita la Secretaría de Economía o derivado del supuesto previsto en la fracción anterior;</w:t>
            </w:r>
          </w:p>
        </w:tc>
        <w:tc>
          <w:tcPr>
            <w:tcW w:w="4649" w:type="dxa"/>
          </w:tcPr>
          <w:p w14:paraId="08FC1ABB" w14:textId="7EC7C830"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minimum percentage of national content established in the Assignment title is modified, in the event that the methodology issued by the Secretary of Economy is updated or derived from the assumption provided for in the preceding section;</w:t>
            </w:r>
          </w:p>
        </w:tc>
      </w:tr>
      <w:tr w:rsidR="009849AC" w:rsidRPr="002314E3" w14:paraId="20B87B3D" w14:textId="4A9A3261" w:rsidTr="00F867DE">
        <w:tc>
          <w:tcPr>
            <w:tcW w:w="4711" w:type="dxa"/>
          </w:tcPr>
          <w:p w14:paraId="66DBFE52"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lastRenderedPageBreak/>
              <w:t>V.</w:t>
            </w:r>
            <w:r w:rsidRPr="00837D4A">
              <w:rPr>
                <w:rFonts w:ascii="Verdana" w:hAnsi="Verdana"/>
                <w:b/>
                <w:sz w:val="16"/>
                <w:szCs w:val="16"/>
              </w:rPr>
              <w:tab/>
            </w:r>
            <w:r w:rsidRPr="00837D4A">
              <w:rPr>
                <w:rFonts w:ascii="Verdana" w:hAnsi="Verdana"/>
                <w:sz w:val="16"/>
                <w:szCs w:val="16"/>
              </w:rPr>
              <w:t>Se requiera la modificación de la vigencia o de las actividades aprobadas en el programa de transición provisional del título de Asignación;</w:t>
            </w:r>
          </w:p>
        </w:tc>
        <w:tc>
          <w:tcPr>
            <w:tcW w:w="4649" w:type="dxa"/>
          </w:tcPr>
          <w:p w14:paraId="188B80CB" w14:textId="477C7920"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Modification of the validity or activities approved in the provisional transition program of the Assignment title is required;</w:t>
            </w:r>
          </w:p>
        </w:tc>
      </w:tr>
      <w:tr w:rsidR="009849AC" w:rsidRPr="002314E3" w14:paraId="5B5D8D97" w14:textId="3AD89F26" w:rsidTr="00F867DE">
        <w:tc>
          <w:tcPr>
            <w:tcW w:w="4711" w:type="dxa"/>
          </w:tcPr>
          <w:p w14:paraId="605C98C4"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 Secretaría determine que es conveniente para el interés del Estado, en cumplimiento de la política pública que se emita para procurar la continuidad de la producción y la garantía de abasto de Hidrocarburos, y</w:t>
            </w:r>
          </w:p>
        </w:tc>
        <w:tc>
          <w:tcPr>
            <w:tcW w:w="4649" w:type="dxa"/>
          </w:tcPr>
          <w:p w14:paraId="235E3F83" w14:textId="0827A871"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The Secretary determines that it is convenient for the interest of the State, in compliance with the public policy issued to ensure the continuity of production and the guarantee of supply of Hydrocarbons, and</w:t>
            </w:r>
          </w:p>
        </w:tc>
      </w:tr>
      <w:tr w:rsidR="009849AC" w:rsidRPr="002314E3" w14:paraId="3BA805DB" w14:textId="71B73BBC" w:rsidTr="00F867DE">
        <w:tc>
          <w:tcPr>
            <w:tcW w:w="4711" w:type="dxa"/>
          </w:tcPr>
          <w:p w14:paraId="2F0DB365"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Se prevea en el título de Asignación correspondiente y sus anexos.</w:t>
            </w:r>
          </w:p>
        </w:tc>
        <w:tc>
          <w:tcPr>
            <w:tcW w:w="4649" w:type="dxa"/>
          </w:tcPr>
          <w:p w14:paraId="1D7B8F83" w14:textId="5ACB07C6"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It is provided for in the corresponding Assignment title and its annexes.</w:t>
            </w:r>
          </w:p>
        </w:tc>
      </w:tr>
      <w:tr w:rsidR="009849AC" w:rsidRPr="002314E3" w14:paraId="5C598D44" w14:textId="283D63F1" w:rsidTr="00F867DE">
        <w:tc>
          <w:tcPr>
            <w:tcW w:w="4711" w:type="dxa"/>
          </w:tcPr>
          <w:p w14:paraId="37F56612"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En caso de que la persona Asignataria solicite la modificación de la Asignación para Desarrollo Mixto, debe acompañar a su solicitud la documentación técnica y demás elementos que considere convenientes que motiven la misma.</w:t>
            </w:r>
          </w:p>
        </w:tc>
        <w:tc>
          <w:tcPr>
            <w:tcW w:w="4649" w:type="dxa"/>
          </w:tcPr>
          <w:p w14:paraId="562FD5BD" w14:textId="39F61DE2"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If the Assignee requests a modification to the Mixed Development Assignment, they must accompany their request with the technical documentation and other elements they consider appropriate to justify the modification.</w:t>
            </w:r>
          </w:p>
        </w:tc>
      </w:tr>
      <w:tr w:rsidR="009849AC" w:rsidRPr="002314E3" w14:paraId="3064FD2B" w14:textId="04278E8D" w:rsidTr="00F867DE">
        <w:tc>
          <w:tcPr>
            <w:tcW w:w="4711" w:type="dxa"/>
          </w:tcPr>
          <w:p w14:paraId="728D438A"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En los casos en que la Secretaría determine de oficio la modificación de una Asignación para Desarrollo Mixto, debe notificar a la persona Asignataria el inicio del procedimiento de modificación, conforme a la Ley Federal de Procedimiento Administrativo, a efecto de que, en un plazo de veinte días hábiles, el cual puede ser prorrogable hasta por diez días hábiles por una sola ocasión, manifieste lo que a su derecho convenga, y remita el consentimiento de las personas Participantes y entregue la documentación soporte y demás elementos que considere convenientes.</w:t>
            </w:r>
          </w:p>
        </w:tc>
        <w:tc>
          <w:tcPr>
            <w:tcW w:w="4649" w:type="dxa"/>
          </w:tcPr>
          <w:p w14:paraId="7C94775C" w14:textId="5D6B3DF2"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 xml:space="preserve">In cases where the Secretary determines </w:t>
            </w:r>
            <w:r w:rsidRPr="00837D4A">
              <w:rPr>
                <w:rFonts w:ascii="Verdana" w:hAnsi="Verdana"/>
                <w:i/>
                <w:iCs/>
                <w:sz w:val="16"/>
                <w:szCs w:val="16"/>
                <w:lang w:val="en-US"/>
              </w:rPr>
              <w:t>ex officio</w:t>
            </w:r>
            <w:r w:rsidRPr="00837D4A">
              <w:rPr>
                <w:rFonts w:ascii="Verdana" w:hAnsi="Verdana"/>
                <w:sz w:val="16"/>
                <w:szCs w:val="16"/>
                <w:lang w:val="en-US"/>
              </w:rPr>
              <w:t xml:space="preserve"> the modification of a Mixed Development Assignment, it must notify the Assignee of the start of the modification procedure, in accordance with the Federal Law of Administrative Procedure, so that, within a period of twenty business days, which may be extended for up to ten business days for a single occasion, they may state what is convenient to their rights, and send the consent of the Participating persons and deliver the supporting documentation and other elements that they consider convenient.</w:t>
            </w:r>
          </w:p>
        </w:tc>
      </w:tr>
      <w:tr w:rsidR="009849AC" w:rsidRPr="002314E3" w14:paraId="1F4AE50F" w14:textId="66B3F0D7" w:rsidTr="00F867DE">
        <w:tc>
          <w:tcPr>
            <w:tcW w:w="4711" w:type="dxa"/>
          </w:tcPr>
          <w:p w14:paraId="2D513429"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En caso de que Petróleos Mexicanos manifieste su conformidad, la Secretaría debe emitir el título de Asignación para Desarrollo Mixto modificado.</w:t>
            </w:r>
          </w:p>
        </w:tc>
        <w:tc>
          <w:tcPr>
            <w:tcW w:w="4649" w:type="dxa"/>
          </w:tcPr>
          <w:p w14:paraId="202B6204" w14:textId="7E092D97"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If Petróleos Mexicanos agrees, the Secretary must issue the modified Mixed Development Assignment title.</w:t>
            </w:r>
          </w:p>
        </w:tc>
      </w:tr>
      <w:tr w:rsidR="009849AC" w:rsidRPr="002314E3" w14:paraId="61D03118" w14:textId="3B5BFB3C" w:rsidTr="00F867DE">
        <w:tc>
          <w:tcPr>
            <w:tcW w:w="4711" w:type="dxa"/>
          </w:tcPr>
          <w:p w14:paraId="174233F6"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En caso de que Petróleos Mexicanos no esté de acuerdo con la modificación propuesta por la Secretaría debe acompañar a su manifestación, la justificación técnica y económica de su rechazo, por lo que el título de Asignación se debe mantener con los mismos términos y condiciones iniciales.</w:t>
            </w:r>
          </w:p>
        </w:tc>
        <w:tc>
          <w:tcPr>
            <w:tcW w:w="4649" w:type="dxa"/>
          </w:tcPr>
          <w:p w14:paraId="52C20716" w14:textId="10E0915A"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If Petróleos Mexicanos does not agree with the modification proposed by the Secretary, it must accompany its statement with a technical and economic justification for its rejection. Therefore, the Assignment title must remain under the same initial terms and conditions.</w:t>
            </w:r>
          </w:p>
        </w:tc>
      </w:tr>
      <w:tr w:rsidR="009849AC" w:rsidRPr="002314E3" w14:paraId="70AB229E" w14:textId="7896AC1C" w:rsidTr="00F867DE">
        <w:tc>
          <w:tcPr>
            <w:tcW w:w="4711" w:type="dxa"/>
          </w:tcPr>
          <w:p w14:paraId="0AF83F90"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La Secretaría debe notificar a la Secretaría de Hacienda y Crédito Público y al Fondo Mexicano del Petróleo sobre las modificaciones realizadas a una Asignación para Desarrollo Mixto, dentro de los cinco días hábiles siguientes a que se efectúen.</w:t>
            </w:r>
          </w:p>
        </w:tc>
        <w:tc>
          <w:tcPr>
            <w:tcW w:w="4649" w:type="dxa"/>
          </w:tcPr>
          <w:p w14:paraId="47559533" w14:textId="13127BC5"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The Secretary must notify the Secretary of Finance and Public Credit and the Mexican Petroleum Fund of any modifications made to a Mixed Development Assignment within five business days of their implementation.</w:t>
            </w:r>
          </w:p>
        </w:tc>
      </w:tr>
      <w:tr w:rsidR="009849AC" w:rsidRPr="00D0180E" w14:paraId="158B3179" w14:textId="39499613" w:rsidTr="00F867DE">
        <w:tc>
          <w:tcPr>
            <w:tcW w:w="4711" w:type="dxa"/>
          </w:tcPr>
          <w:p w14:paraId="705C0726" w14:textId="77777777" w:rsidR="009849AC" w:rsidRPr="00837D4A" w:rsidRDefault="009849AC" w:rsidP="009849AC">
            <w:pPr>
              <w:pStyle w:val="Texto"/>
              <w:spacing w:line="230" w:lineRule="exact"/>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570F3ADB" w14:textId="2347E403" w:rsidR="009849AC" w:rsidRPr="00837D4A" w:rsidRDefault="009849AC" w:rsidP="009849AC">
            <w:pPr>
              <w:pStyle w:val="Texto"/>
              <w:spacing w:line="230" w:lineRule="exact"/>
              <w:ind w:firstLine="0"/>
              <w:jc w:val="center"/>
              <w:rPr>
                <w:rFonts w:ascii="Verdana" w:hAnsi="Verdana"/>
                <w:b/>
                <w:sz w:val="16"/>
                <w:szCs w:val="16"/>
                <w:lang w:val="en-US"/>
              </w:rPr>
            </w:pPr>
            <w:proofErr w:type="spellStart"/>
            <w:r w:rsidRPr="00837D4A">
              <w:rPr>
                <w:rFonts w:ascii="Verdana" w:hAnsi="Verdana"/>
                <w:b/>
                <w:sz w:val="16"/>
                <w:szCs w:val="16"/>
              </w:rPr>
              <w:t>Second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0513DC" w14:paraId="44571A27" w14:textId="7E51C93C" w:rsidTr="00F867DE">
        <w:tc>
          <w:tcPr>
            <w:tcW w:w="4711" w:type="dxa"/>
          </w:tcPr>
          <w:p w14:paraId="17F59B64" w14:textId="77777777" w:rsidR="009849AC" w:rsidRPr="00837D4A" w:rsidRDefault="009849AC" w:rsidP="009849AC">
            <w:pPr>
              <w:pStyle w:val="Texto"/>
              <w:spacing w:line="230" w:lineRule="exact"/>
              <w:ind w:firstLine="0"/>
              <w:jc w:val="center"/>
              <w:rPr>
                <w:rFonts w:ascii="Verdana" w:hAnsi="Verdana"/>
                <w:b/>
                <w:sz w:val="16"/>
                <w:szCs w:val="16"/>
              </w:rPr>
            </w:pPr>
            <w:r w:rsidRPr="00837D4A">
              <w:rPr>
                <w:rFonts w:ascii="Verdana" w:hAnsi="Verdana"/>
                <w:b/>
                <w:sz w:val="16"/>
                <w:szCs w:val="16"/>
              </w:rPr>
              <w:t>De la Modificación de Modalidad</w:t>
            </w:r>
          </w:p>
        </w:tc>
        <w:tc>
          <w:tcPr>
            <w:tcW w:w="4649" w:type="dxa"/>
          </w:tcPr>
          <w:p w14:paraId="22A1EF4C" w14:textId="76345A4E" w:rsidR="009849AC" w:rsidRPr="00837D4A" w:rsidRDefault="009849AC" w:rsidP="009849AC">
            <w:pPr>
              <w:pStyle w:val="Texto"/>
              <w:spacing w:line="230" w:lineRule="exact"/>
              <w:ind w:firstLine="0"/>
              <w:jc w:val="center"/>
              <w:rPr>
                <w:rFonts w:ascii="Verdana" w:hAnsi="Verdana"/>
                <w:b/>
                <w:sz w:val="16"/>
                <w:szCs w:val="16"/>
                <w:lang w:val="en-US"/>
              </w:rPr>
            </w:pPr>
            <w:r w:rsidRPr="00837D4A">
              <w:rPr>
                <w:rFonts w:ascii="Verdana" w:hAnsi="Verdana"/>
                <w:b/>
                <w:sz w:val="16"/>
                <w:szCs w:val="16"/>
                <w:lang w:val="en-US"/>
              </w:rPr>
              <w:t>Modification of Modality</w:t>
            </w:r>
          </w:p>
        </w:tc>
      </w:tr>
      <w:tr w:rsidR="009849AC" w:rsidRPr="002314E3" w14:paraId="1457ACB6" w14:textId="3965EAAF" w:rsidTr="00F867DE">
        <w:tc>
          <w:tcPr>
            <w:tcW w:w="4711" w:type="dxa"/>
          </w:tcPr>
          <w:p w14:paraId="5C93274D"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39.</w:t>
            </w:r>
            <w:r w:rsidRPr="00837D4A">
              <w:rPr>
                <w:rFonts w:ascii="Verdana" w:hAnsi="Verdana"/>
                <w:sz w:val="16"/>
                <w:szCs w:val="16"/>
              </w:rPr>
              <w:t xml:space="preserve"> Para modificar la modalidad de una Asignación para Desarrollo Mixto a una Asignación para Desarrollo Propio, Petróleos Mexicanos debe presentar a la Secretaría la solicitud correspondiente mediante el formato autorizado, la cual debe contener al menos lo siguiente:</w:t>
            </w:r>
          </w:p>
        </w:tc>
        <w:tc>
          <w:tcPr>
            <w:tcW w:w="4649" w:type="dxa"/>
          </w:tcPr>
          <w:p w14:paraId="15E91EA2" w14:textId="305FC235"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39. </w:t>
            </w:r>
            <w:r w:rsidRPr="00837D4A">
              <w:rPr>
                <w:rFonts w:ascii="Verdana" w:hAnsi="Verdana"/>
                <w:sz w:val="16"/>
                <w:szCs w:val="16"/>
                <w:lang w:val="en-US"/>
              </w:rPr>
              <w:t xml:space="preserve">To modify the modality of a Mixed Development Assignment to an Assignment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Petróleos Mexicanos must submit to the Secretary the corresponding request using the authorized form, which must contain at least the following:</w:t>
            </w:r>
          </w:p>
        </w:tc>
      </w:tr>
      <w:tr w:rsidR="009849AC" w:rsidRPr="002314E3" w14:paraId="6FF2488F" w14:textId="2B48E546" w:rsidTr="00F867DE">
        <w:tc>
          <w:tcPr>
            <w:tcW w:w="4711" w:type="dxa"/>
          </w:tcPr>
          <w:p w14:paraId="02897FA3"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 xml:space="preserve">La autorización de su Consejo de Administración respecto al cambio de modalidad de </w:t>
            </w:r>
            <w:r w:rsidRPr="00837D4A">
              <w:rPr>
                <w:rFonts w:ascii="Verdana" w:hAnsi="Verdana"/>
                <w:sz w:val="16"/>
                <w:szCs w:val="16"/>
              </w:rPr>
              <w:lastRenderedPageBreak/>
              <w:t>Asignación para Desarrollo Mixto a una Asignación para Desarrollo Propio;</w:t>
            </w:r>
          </w:p>
        </w:tc>
        <w:tc>
          <w:tcPr>
            <w:tcW w:w="4649" w:type="dxa"/>
          </w:tcPr>
          <w:p w14:paraId="26907FA7" w14:textId="17B9DAFF"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lastRenderedPageBreak/>
              <w:t xml:space="preserve">I. </w:t>
            </w:r>
            <w:r w:rsidRPr="00837D4A">
              <w:rPr>
                <w:rFonts w:ascii="Verdana" w:hAnsi="Verdana"/>
                <w:b/>
                <w:sz w:val="16"/>
                <w:szCs w:val="16"/>
                <w:lang w:val="en-US"/>
              </w:rPr>
              <w:tab/>
            </w:r>
            <w:r w:rsidRPr="00837D4A">
              <w:rPr>
                <w:rFonts w:ascii="Verdana" w:hAnsi="Verdana"/>
                <w:sz w:val="16"/>
                <w:szCs w:val="16"/>
                <w:lang w:val="en-US"/>
              </w:rPr>
              <w:t xml:space="preserve">The authorization of its Board of Directors regarding the change of modality from a Mixed </w:t>
            </w:r>
            <w:r w:rsidRPr="00837D4A">
              <w:rPr>
                <w:rFonts w:ascii="Verdana" w:hAnsi="Verdana"/>
                <w:sz w:val="16"/>
                <w:szCs w:val="16"/>
                <w:lang w:val="en-US"/>
              </w:rPr>
              <w:lastRenderedPageBreak/>
              <w:t xml:space="preserve">Development Assignment to a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Assignment;</w:t>
            </w:r>
          </w:p>
        </w:tc>
      </w:tr>
      <w:tr w:rsidR="009849AC" w:rsidRPr="002314E3" w14:paraId="0CF559BF" w14:textId="107DFF9D" w:rsidTr="00F867DE">
        <w:tc>
          <w:tcPr>
            <w:tcW w:w="4711" w:type="dxa"/>
          </w:tcPr>
          <w:p w14:paraId="3CD68692"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lastRenderedPageBreak/>
              <w:t>II.</w:t>
            </w:r>
            <w:r w:rsidRPr="00837D4A">
              <w:rPr>
                <w:rFonts w:ascii="Verdana" w:hAnsi="Verdana"/>
                <w:b/>
                <w:sz w:val="16"/>
                <w:szCs w:val="16"/>
              </w:rPr>
              <w:tab/>
            </w:r>
            <w:r w:rsidRPr="00837D4A">
              <w:rPr>
                <w:rFonts w:ascii="Verdana" w:hAnsi="Verdana"/>
                <w:sz w:val="16"/>
                <w:szCs w:val="16"/>
              </w:rPr>
              <w:t>La información que acredite que Petróleos Mexicanos cuenta con las capacidades técnicas, operativas, financieras o de ejecución, para dar continuidad a las actividades de Exploración y Extracción previstas en los planes y programas aprobados por la Secretaría, según corresponda;</w:t>
            </w:r>
          </w:p>
        </w:tc>
        <w:tc>
          <w:tcPr>
            <w:tcW w:w="4649" w:type="dxa"/>
          </w:tcPr>
          <w:p w14:paraId="4CC3EA9F" w14:textId="02A315E0"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Information proving that Petróleos Mexicanos has the technical, operational, financial or execution capabilities to continue the Exploration and Extraction activities provided for in the plans and programs approved by the Secretary, as appropriate;</w:t>
            </w:r>
          </w:p>
        </w:tc>
      </w:tr>
      <w:tr w:rsidR="009849AC" w:rsidRPr="002314E3" w14:paraId="5241749F" w14:textId="130CC5A2" w:rsidTr="00F867DE">
        <w:tc>
          <w:tcPr>
            <w:tcW w:w="4711" w:type="dxa"/>
          </w:tcPr>
          <w:p w14:paraId="3B80AB89"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Cualquier otra información que Petróleos Mexicanos considere necesaria para justificar la solicitud, y</w:t>
            </w:r>
          </w:p>
        </w:tc>
        <w:tc>
          <w:tcPr>
            <w:tcW w:w="4649" w:type="dxa"/>
          </w:tcPr>
          <w:p w14:paraId="6C069298" w14:textId="4F2DDA15"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Any other information that Petróleos Mexicanos considers necessary to justify the request, and</w:t>
            </w:r>
          </w:p>
        </w:tc>
      </w:tr>
      <w:tr w:rsidR="009849AC" w:rsidRPr="002314E3" w14:paraId="5B9784DA" w14:textId="5332BAA4" w:rsidTr="00F867DE">
        <w:tc>
          <w:tcPr>
            <w:tcW w:w="4711" w:type="dxa"/>
          </w:tcPr>
          <w:p w14:paraId="3423C709"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demás información y documentación que establezca la Normatividad que emita la Secretaría.</w:t>
            </w:r>
          </w:p>
        </w:tc>
        <w:tc>
          <w:tcPr>
            <w:tcW w:w="4649" w:type="dxa"/>
          </w:tcPr>
          <w:p w14:paraId="5C2F154B" w14:textId="7E808DF0"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Other information and documentation established by the Legislation issued by the Secretary.</w:t>
            </w:r>
          </w:p>
        </w:tc>
      </w:tr>
      <w:tr w:rsidR="009849AC" w:rsidRPr="002314E3" w14:paraId="7F867704" w14:textId="1550D7C8" w:rsidTr="00F867DE">
        <w:tc>
          <w:tcPr>
            <w:tcW w:w="4711" w:type="dxa"/>
          </w:tcPr>
          <w:p w14:paraId="5ED07E34"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40.</w:t>
            </w:r>
            <w:r w:rsidRPr="00837D4A">
              <w:rPr>
                <w:rFonts w:ascii="Verdana" w:hAnsi="Verdana"/>
                <w:sz w:val="16"/>
                <w:szCs w:val="16"/>
              </w:rPr>
              <w:t xml:space="preserve"> El procedimiento para la modificación de la modalidad de una Asignación debe sujetarse a lo previsto en los artículos 18 y 19 de este reglamento.</w:t>
            </w:r>
          </w:p>
        </w:tc>
        <w:tc>
          <w:tcPr>
            <w:tcW w:w="4649" w:type="dxa"/>
          </w:tcPr>
          <w:p w14:paraId="5972DEF5" w14:textId="79590A2B"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40. </w:t>
            </w:r>
            <w:r w:rsidRPr="00837D4A">
              <w:rPr>
                <w:rFonts w:ascii="Verdana" w:hAnsi="Verdana"/>
                <w:sz w:val="16"/>
                <w:szCs w:val="16"/>
                <w:lang w:val="en-US"/>
              </w:rPr>
              <w:t>The procedure for modifying the modality of an Assignment must be subject to the provisions of Articles 18 and 19 of this regulation.</w:t>
            </w:r>
          </w:p>
        </w:tc>
      </w:tr>
      <w:tr w:rsidR="009849AC" w:rsidRPr="00D0180E" w14:paraId="20CB3EEB" w14:textId="26E04BE6" w:rsidTr="00F867DE">
        <w:tc>
          <w:tcPr>
            <w:tcW w:w="4711" w:type="dxa"/>
          </w:tcPr>
          <w:p w14:paraId="6490C465" w14:textId="77777777" w:rsidR="009849AC" w:rsidRPr="00837D4A" w:rsidRDefault="009849AC" w:rsidP="009849AC">
            <w:pPr>
              <w:pStyle w:val="Texto"/>
              <w:spacing w:line="230" w:lineRule="exact"/>
              <w:ind w:firstLine="0"/>
              <w:jc w:val="center"/>
              <w:rPr>
                <w:rFonts w:ascii="Verdana" w:hAnsi="Verdana"/>
                <w:b/>
                <w:sz w:val="16"/>
                <w:szCs w:val="16"/>
              </w:rPr>
            </w:pPr>
            <w:r w:rsidRPr="00837D4A">
              <w:rPr>
                <w:rFonts w:ascii="Verdana" w:hAnsi="Verdana"/>
                <w:b/>
                <w:sz w:val="16"/>
                <w:szCs w:val="16"/>
              </w:rPr>
              <w:t>Sección Tercera</w:t>
            </w:r>
          </w:p>
        </w:tc>
        <w:tc>
          <w:tcPr>
            <w:tcW w:w="4649" w:type="dxa"/>
          </w:tcPr>
          <w:p w14:paraId="05CC89CE" w14:textId="67E81B8A" w:rsidR="009849AC" w:rsidRPr="00837D4A" w:rsidRDefault="009849AC" w:rsidP="009849AC">
            <w:pPr>
              <w:pStyle w:val="Texto"/>
              <w:spacing w:line="230" w:lineRule="exact"/>
              <w:ind w:firstLine="0"/>
              <w:jc w:val="center"/>
              <w:rPr>
                <w:rFonts w:ascii="Verdana" w:hAnsi="Verdana"/>
                <w:b/>
                <w:sz w:val="16"/>
                <w:szCs w:val="16"/>
                <w:lang w:val="en-US"/>
              </w:rPr>
            </w:pPr>
            <w:proofErr w:type="spellStart"/>
            <w:r w:rsidRPr="00837D4A">
              <w:rPr>
                <w:rFonts w:ascii="Verdana" w:hAnsi="Verdana"/>
                <w:b/>
                <w:sz w:val="16"/>
                <w:szCs w:val="16"/>
              </w:rPr>
              <w:t>Third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314E3" w14:paraId="2A797AAA" w14:textId="12CF4FBF" w:rsidTr="00F867DE">
        <w:tc>
          <w:tcPr>
            <w:tcW w:w="4711" w:type="dxa"/>
          </w:tcPr>
          <w:p w14:paraId="30398A40" w14:textId="77777777" w:rsidR="009849AC" w:rsidRPr="00837D4A" w:rsidRDefault="009849AC" w:rsidP="009849AC">
            <w:pPr>
              <w:pStyle w:val="Texto"/>
              <w:spacing w:line="230" w:lineRule="exact"/>
              <w:ind w:firstLine="0"/>
              <w:jc w:val="center"/>
              <w:rPr>
                <w:rFonts w:ascii="Verdana" w:hAnsi="Verdana"/>
                <w:b/>
                <w:sz w:val="16"/>
                <w:szCs w:val="16"/>
              </w:rPr>
            </w:pPr>
            <w:r w:rsidRPr="00837D4A">
              <w:rPr>
                <w:rFonts w:ascii="Verdana" w:hAnsi="Verdana"/>
                <w:b/>
                <w:sz w:val="16"/>
                <w:szCs w:val="16"/>
              </w:rPr>
              <w:t>De la Revisión de la Recuperación de Costos y la Contabilidad de los Contratos Mixtos</w:t>
            </w:r>
          </w:p>
        </w:tc>
        <w:tc>
          <w:tcPr>
            <w:tcW w:w="4649" w:type="dxa"/>
          </w:tcPr>
          <w:p w14:paraId="363316CC" w14:textId="66B83C30" w:rsidR="009849AC" w:rsidRPr="00837D4A" w:rsidRDefault="009849AC" w:rsidP="009849AC">
            <w:pPr>
              <w:pStyle w:val="Texto"/>
              <w:spacing w:line="230" w:lineRule="exact"/>
              <w:ind w:firstLine="0"/>
              <w:jc w:val="center"/>
              <w:rPr>
                <w:rFonts w:ascii="Verdana" w:hAnsi="Verdana"/>
                <w:b/>
                <w:sz w:val="16"/>
                <w:szCs w:val="16"/>
                <w:lang w:val="en-US"/>
              </w:rPr>
            </w:pPr>
            <w:r w:rsidRPr="00837D4A">
              <w:rPr>
                <w:rFonts w:ascii="Verdana" w:hAnsi="Verdana"/>
                <w:b/>
                <w:sz w:val="16"/>
                <w:szCs w:val="16"/>
                <w:lang w:val="en-US"/>
              </w:rPr>
              <w:t>Review of Cost Recovery and Accounting for Mixed Contracts</w:t>
            </w:r>
          </w:p>
        </w:tc>
      </w:tr>
      <w:tr w:rsidR="009849AC" w:rsidRPr="002314E3" w14:paraId="345F2C94" w14:textId="60FE63BA" w:rsidTr="00F867DE">
        <w:tc>
          <w:tcPr>
            <w:tcW w:w="4711" w:type="dxa"/>
          </w:tcPr>
          <w:p w14:paraId="11639531"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41.</w:t>
            </w:r>
            <w:r w:rsidRPr="00837D4A">
              <w:rPr>
                <w:rFonts w:ascii="Verdana" w:hAnsi="Verdana"/>
                <w:sz w:val="16"/>
                <w:szCs w:val="16"/>
              </w:rPr>
              <w:t xml:space="preserve"> Para los efectos de lo previsto en el artículo 32 de la Ley, la Secretaría de Hacienda y Crédito Público debe determinar las bases y reglas sobre el registro de costos, gastos e inversiones.</w:t>
            </w:r>
          </w:p>
        </w:tc>
        <w:tc>
          <w:tcPr>
            <w:tcW w:w="4649" w:type="dxa"/>
          </w:tcPr>
          <w:p w14:paraId="1A44CBB0" w14:textId="04533B65"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41. </w:t>
            </w:r>
            <w:r w:rsidRPr="00837D4A">
              <w:rPr>
                <w:rFonts w:ascii="Verdana" w:hAnsi="Verdana"/>
                <w:sz w:val="16"/>
                <w:szCs w:val="16"/>
                <w:lang w:val="en-US"/>
              </w:rPr>
              <w:t>For the purposes of the provisions of Article 32 of the Law, the Secretary of Finance and Public Credit must determine the criteria and rules for recording costs, expenses and investments.</w:t>
            </w:r>
          </w:p>
        </w:tc>
      </w:tr>
      <w:tr w:rsidR="009849AC" w:rsidRPr="002314E3" w14:paraId="5D51632E" w14:textId="5C46CEBE" w:rsidTr="00F867DE">
        <w:tc>
          <w:tcPr>
            <w:tcW w:w="4711" w:type="dxa"/>
          </w:tcPr>
          <w:p w14:paraId="423DF0F3"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El registro y reconocimiento de costos, gastos, inversiones e ingresos que se realice conforme a lo dispuesto en los Contratos Mixtos solamente son válidos para la determinación de las contraprestaciones contempladas en los mismos, por lo que su registro y, en su caso, reconocimiento bajo los términos de un Contrato Mixto no implica su aceptación o rechazo para propósito del cumplimiento de las obligaciones fiscales a las que está sujeta la persona Participante, en términos de la Normatividad aplicable.</w:t>
            </w:r>
          </w:p>
        </w:tc>
        <w:tc>
          <w:tcPr>
            <w:tcW w:w="4649" w:type="dxa"/>
          </w:tcPr>
          <w:p w14:paraId="23762485" w14:textId="12217E66"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The registration and recognition of costs, expenses, investments and income carried out in accordance with the provisions of the Mixed Contracts are only valid for the determination of the consideration contemplated therein, so their registration and, where applicable, recognition under the terms of a Mixed Contract does not imply their acceptance or rejection for the purpose of compliance with the tax obligations to which the Participant is subject, in terms of the applicable legislation.</w:t>
            </w:r>
          </w:p>
        </w:tc>
      </w:tr>
      <w:tr w:rsidR="009849AC" w:rsidRPr="002314E3" w14:paraId="1BBB6324" w14:textId="0663BF76" w:rsidTr="00F867DE">
        <w:tc>
          <w:tcPr>
            <w:tcW w:w="4711" w:type="dxa"/>
          </w:tcPr>
          <w:p w14:paraId="1656D1CD"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La Normatividad correspondiente a las disposiciones relativas al procedimiento para la revisión de la recuperación de costos y demás contabilidad relativa a los Contratos Mixtos debe ser emitida por la Secretaría, y la Secretaría de Hacienda y Crédito Público, en el ámbito de sus respectivas competencias.</w:t>
            </w:r>
          </w:p>
        </w:tc>
        <w:tc>
          <w:tcPr>
            <w:tcW w:w="4649" w:type="dxa"/>
          </w:tcPr>
          <w:p w14:paraId="3BB4CDBC" w14:textId="476F73EA"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The legislation corresponding to the provisions relating to the procedure for reviewing cost recovery and other accounting related to Mixed Contracts must be issued by the Secretary and the Secretary of Finance and Public Credit, within the scope of their respective powers.</w:t>
            </w:r>
          </w:p>
        </w:tc>
      </w:tr>
      <w:tr w:rsidR="009849AC" w:rsidRPr="002314E3" w14:paraId="1E4E0BCD" w14:textId="22458429" w:rsidTr="00F867DE">
        <w:tc>
          <w:tcPr>
            <w:tcW w:w="4711" w:type="dxa"/>
          </w:tcPr>
          <w:p w14:paraId="7ED7225B"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Las dependencias mencionadas pueden suscribir los convenios de colaboración y coordinación que requieran para el cumplimiento de sus atribuciones.</w:t>
            </w:r>
          </w:p>
        </w:tc>
        <w:tc>
          <w:tcPr>
            <w:tcW w:w="4649" w:type="dxa"/>
          </w:tcPr>
          <w:p w14:paraId="5FEBCAB8" w14:textId="3895DD72"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The aforementioned agencies may enter into the collaboration and coordination agreements required to fulfill their responsibilities.</w:t>
            </w:r>
          </w:p>
        </w:tc>
      </w:tr>
      <w:tr w:rsidR="009849AC" w:rsidRPr="002314E3" w14:paraId="0A66FC24" w14:textId="73CCED07" w:rsidTr="00F867DE">
        <w:tc>
          <w:tcPr>
            <w:tcW w:w="4711" w:type="dxa"/>
          </w:tcPr>
          <w:p w14:paraId="33276C00"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La Secretaría de Hacienda y Crédito Público debe llevar a cabo la revisión de los costos incurridos y demás contabilidad registrados por la persona Participante y Petróleos Mexicanos, relacionadas a los Contratos Mixtos, en términos de la Normatividad a la que se refiere el segundo párrafo del presente artículo, sin perjuicio de las facultades en materia fiscal de las autoridades competentes, en términos de la Normatividad aplicable.</w:t>
            </w:r>
          </w:p>
        </w:tc>
        <w:tc>
          <w:tcPr>
            <w:tcW w:w="4649" w:type="dxa"/>
          </w:tcPr>
          <w:p w14:paraId="17AE0CDF" w14:textId="04047DBB"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The Secretary of Finance and Public Credit must review the costs incurred and other accounting records recorded by the Participant and Petróleos Mexicanos, related to the Mixed Contracts, in accordance with the legislation referred to in the second paragraph of this article, without prejudice to the fiscal powers of the appropriate authorities, in accordance with the applicable legislation.</w:t>
            </w:r>
          </w:p>
        </w:tc>
      </w:tr>
      <w:tr w:rsidR="009849AC" w:rsidRPr="002314E3" w14:paraId="59F58D2F" w14:textId="0B308D13" w:rsidTr="00F867DE">
        <w:tc>
          <w:tcPr>
            <w:tcW w:w="4711" w:type="dxa"/>
          </w:tcPr>
          <w:p w14:paraId="2BE3B723"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sz w:val="16"/>
                <w:szCs w:val="16"/>
              </w:rPr>
              <w:lastRenderedPageBreak/>
              <w:t>Asimismo, la Secretaría de Hacienda y Crédito Público debe poner a disposición de la Secretaría la información relacionada con la revisión efectuada, para que resuelva lo conducente. La Secretaría debe notificar a la persona Participante, a Petróleos Mexicanos y a la Secretaría de Hacienda y Crédito Público la resolución emitida para los efectos legales que haya lugar.</w:t>
            </w:r>
          </w:p>
        </w:tc>
        <w:tc>
          <w:tcPr>
            <w:tcW w:w="4649" w:type="dxa"/>
          </w:tcPr>
          <w:p w14:paraId="60A0BF02" w14:textId="58CD1934" w:rsidR="009849AC" w:rsidRPr="00837D4A" w:rsidRDefault="009849AC" w:rsidP="009849AC">
            <w:pPr>
              <w:pStyle w:val="Texto"/>
              <w:spacing w:after="98"/>
              <w:ind w:firstLine="0"/>
              <w:rPr>
                <w:rFonts w:ascii="Verdana" w:hAnsi="Verdana"/>
                <w:sz w:val="16"/>
                <w:szCs w:val="16"/>
                <w:lang w:val="en-US"/>
              </w:rPr>
            </w:pPr>
            <w:r w:rsidRPr="00837D4A">
              <w:rPr>
                <w:rFonts w:ascii="Verdana" w:hAnsi="Verdana"/>
                <w:sz w:val="16"/>
                <w:szCs w:val="16"/>
                <w:lang w:val="en-US"/>
              </w:rPr>
              <w:t>Likewise, the Secretary of Finance and Public Credit must make the information related to the review available to the Secretary so that it can make the appropriate decision. The Secretary must notify the Participant, Petróleos Mexicanos, and the Secretary of Finance and Public Credit of the resolution issued for the applicable legal purposes.</w:t>
            </w:r>
          </w:p>
        </w:tc>
      </w:tr>
      <w:tr w:rsidR="009849AC" w:rsidRPr="002314E3" w14:paraId="052614AA" w14:textId="11CC96E8" w:rsidTr="00F867DE">
        <w:tc>
          <w:tcPr>
            <w:tcW w:w="4711" w:type="dxa"/>
          </w:tcPr>
          <w:p w14:paraId="3C362B40"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sz w:val="16"/>
                <w:szCs w:val="16"/>
              </w:rPr>
              <w:t>La Secretaría debe publicar un informe trimestral respecto a las acciones que haya realizado con la información que le brinde la Secretaría de Hacienda y Crédito Público, en el ejercicio de la facultad de revisión a que se refiere el artículo 32 de la Ley.</w:t>
            </w:r>
          </w:p>
        </w:tc>
        <w:tc>
          <w:tcPr>
            <w:tcW w:w="4649" w:type="dxa"/>
          </w:tcPr>
          <w:p w14:paraId="70C5FA53" w14:textId="4CE5B376" w:rsidR="009849AC" w:rsidRPr="00837D4A" w:rsidRDefault="009849AC" w:rsidP="009849AC">
            <w:pPr>
              <w:pStyle w:val="Texto"/>
              <w:spacing w:after="98"/>
              <w:ind w:firstLine="0"/>
              <w:rPr>
                <w:rFonts w:ascii="Verdana" w:hAnsi="Verdana"/>
                <w:sz w:val="16"/>
                <w:szCs w:val="16"/>
                <w:lang w:val="en-US"/>
              </w:rPr>
            </w:pPr>
            <w:r w:rsidRPr="00837D4A">
              <w:rPr>
                <w:rFonts w:ascii="Verdana" w:hAnsi="Verdana"/>
                <w:sz w:val="16"/>
                <w:szCs w:val="16"/>
                <w:lang w:val="en-US"/>
              </w:rPr>
              <w:t>The Secretary must publish a quarterly report on the actions it has taken with the information provided by the Secretary of Finance and Public Credit, in exercising the review power referred to in Article 32 of the Law.</w:t>
            </w:r>
          </w:p>
        </w:tc>
      </w:tr>
      <w:tr w:rsidR="009849AC" w:rsidRPr="00D0180E" w14:paraId="35886544" w14:textId="76213D42" w:rsidTr="00F867DE">
        <w:tc>
          <w:tcPr>
            <w:tcW w:w="4711" w:type="dxa"/>
          </w:tcPr>
          <w:p w14:paraId="20F36C24" w14:textId="77777777" w:rsidR="009849AC" w:rsidRPr="00837D4A" w:rsidRDefault="009849AC" w:rsidP="009849AC">
            <w:pPr>
              <w:pStyle w:val="Texto"/>
              <w:spacing w:after="98"/>
              <w:ind w:firstLine="0"/>
              <w:jc w:val="center"/>
              <w:rPr>
                <w:rFonts w:ascii="Verdana" w:hAnsi="Verdana"/>
                <w:b/>
                <w:sz w:val="16"/>
                <w:szCs w:val="16"/>
              </w:rPr>
            </w:pPr>
            <w:r w:rsidRPr="00837D4A">
              <w:rPr>
                <w:rFonts w:ascii="Verdana" w:hAnsi="Verdana"/>
                <w:b/>
                <w:sz w:val="16"/>
                <w:szCs w:val="16"/>
              </w:rPr>
              <w:t>Capítulo V</w:t>
            </w:r>
          </w:p>
        </w:tc>
        <w:tc>
          <w:tcPr>
            <w:tcW w:w="4649" w:type="dxa"/>
          </w:tcPr>
          <w:p w14:paraId="7437F799" w14:textId="07AF5B45" w:rsidR="009849AC" w:rsidRPr="00837D4A" w:rsidRDefault="009849AC" w:rsidP="009849AC">
            <w:pPr>
              <w:pStyle w:val="Texto"/>
              <w:spacing w:after="98"/>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V</w:t>
            </w:r>
          </w:p>
        </w:tc>
      </w:tr>
      <w:tr w:rsidR="009849AC" w:rsidRPr="002314E3" w14:paraId="6F9403FB" w14:textId="222294B5" w:rsidTr="00F867DE">
        <w:tc>
          <w:tcPr>
            <w:tcW w:w="4711" w:type="dxa"/>
          </w:tcPr>
          <w:p w14:paraId="4CA1A06B" w14:textId="77777777" w:rsidR="009849AC" w:rsidRPr="00837D4A" w:rsidRDefault="009849AC" w:rsidP="009849AC">
            <w:pPr>
              <w:pStyle w:val="Texto"/>
              <w:spacing w:after="98"/>
              <w:ind w:firstLine="0"/>
              <w:jc w:val="center"/>
              <w:rPr>
                <w:rFonts w:ascii="Verdana" w:hAnsi="Verdana"/>
                <w:b/>
                <w:sz w:val="16"/>
                <w:szCs w:val="16"/>
              </w:rPr>
            </w:pPr>
            <w:r w:rsidRPr="00837D4A">
              <w:rPr>
                <w:rFonts w:ascii="Verdana" w:hAnsi="Verdana"/>
                <w:b/>
                <w:sz w:val="16"/>
                <w:szCs w:val="16"/>
              </w:rPr>
              <w:t>De los Contratos para la Exploración y Extracción</w:t>
            </w:r>
          </w:p>
        </w:tc>
        <w:tc>
          <w:tcPr>
            <w:tcW w:w="4649" w:type="dxa"/>
          </w:tcPr>
          <w:p w14:paraId="23AF9B6D" w14:textId="2AD11CFE" w:rsidR="009849AC" w:rsidRPr="00837D4A" w:rsidRDefault="009849AC" w:rsidP="009849AC">
            <w:pPr>
              <w:pStyle w:val="Texto"/>
              <w:spacing w:after="98"/>
              <w:ind w:firstLine="0"/>
              <w:jc w:val="center"/>
              <w:rPr>
                <w:rFonts w:ascii="Verdana" w:hAnsi="Verdana"/>
                <w:b/>
                <w:sz w:val="16"/>
                <w:szCs w:val="16"/>
                <w:lang w:val="en-US"/>
              </w:rPr>
            </w:pPr>
            <w:r w:rsidRPr="00837D4A">
              <w:rPr>
                <w:rFonts w:ascii="Verdana" w:hAnsi="Verdana"/>
                <w:b/>
                <w:sz w:val="16"/>
                <w:szCs w:val="16"/>
                <w:lang w:val="es-MX"/>
              </w:rPr>
              <w:t xml:space="preserve"> </w:t>
            </w:r>
            <w:r w:rsidRPr="00837D4A">
              <w:rPr>
                <w:rFonts w:ascii="Verdana" w:hAnsi="Verdana"/>
                <w:b/>
                <w:sz w:val="16"/>
                <w:szCs w:val="16"/>
                <w:lang w:val="en-US"/>
              </w:rPr>
              <w:t>Contracts for Exploration and Extraction</w:t>
            </w:r>
          </w:p>
        </w:tc>
      </w:tr>
      <w:tr w:rsidR="009849AC" w:rsidRPr="00D0180E" w14:paraId="1D8213FE" w14:textId="22EA7CDE" w:rsidTr="00F867DE">
        <w:tc>
          <w:tcPr>
            <w:tcW w:w="4711" w:type="dxa"/>
          </w:tcPr>
          <w:p w14:paraId="1C69AF98" w14:textId="77777777" w:rsidR="009849AC" w:rsidRPr="00837D4A" w:rsidRDefault="009849AC" w:rsidP="009849AC">
            <w:pPr>
              <w:pStyle w:val="Texto"/>
              <w:spacing w:after="98"/>
              <w:ind w:firstLine="0"/>
              <w:jc w:val="center"/>
              <w:rPr>
                <w:rFonts w:ascii="Verdana" w:hAnsi="Verdana"/>
                <w:b/>
                <w:sz w:val="16"/>
                <w:szCs w:val="16"/>
              </w:rPr>
            </w:pPr>
            <w:r w:rsidRPr="00837D4A">
              <w:rPr>
                <w:rFonts w:ascii="Verdana" w:hAnsi="Verdana"/>
                <w:b/>
                <w:sz w:val="16"/>
                <w:szCs w:val="16"/>
              </w:rPr>
              <w:t>Sección Primera</w:t>
            </w:r>
          </w:p>
        </w:tc>
        <w:tc>
          <w:tcPr>
            <w:tcW w:w="4649" w:type="dxa"/>
          </w:tcPr>
          <w:p w14:paraId="18C50314" w14:textId="42863369" w:rsidR="009849AC" w:rsidRPr="00837D4A" w:rsidRDefault="009849AC" w:rsidP="009849AC">
            <w:pPr>
              <w:pStyle w:val="Texto"/>
              <w:spacing w:after="98"/>
              <w:ind w:firstLine="0"/>
              <w:jc w:val="center"/>
              <w:rPr>
                <w:rFonts w:ascii="Verdana" w:hAnsi="Verdana"/>
                <w:b/>
                <w:sz w:val="16"/>
                <w:szCs w:val="16"/>
                <w:lang w:val="en-US"/>
              </w:rPr>
            </w:pPr>
            <w:proofErr w:type="spellStart"/>
            <w:r w:rsidRPr="00837D4A">
              <w:rPr>
                <w:rFonts w:ascii="Verdana" w:hAnsi="Verdana"/>
                <w:b/>
                <w:sz w:val="16"/>
                <w:szCs w:val="16"/>
              </w:rPr>
              <w:t>First</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314E3" w14:paraId="65F67672" w14:textId="5913D31B" w:rsidTr="00F867DE">
        <w:tc>
          <w:tcPr>
            <w:tcW w:w="4711" w:type="dxa"/>
          </w:tcPr>
          <w:p w14:paraId="2245AC7A" w14:textId="77777777" w:rsidR="009849AC" w:rsidRPr="00837D4A" w:rsidRDefault="009849AC" w:rsidP="009849AC">
            <w:pPr>
              <w:pStyle w:val="Texto"/>
              <w:spacing w:after="98"/>
              <w:ind w:firstLine="0"/>
              <w:jc w:val="center"/>
              <w:rPr>
                <w:rFonts w:ascii="Verdana" w:hAnsi="Verdana"/>
                <w:b/>
                <w:sz w:val="16"/>
                <w:szCs w:val="16"/>
              </w:rPr>
            </w:pPr>
            <w:r w:rsidRPr="00837D4A">
              <w:rPr>
                <w:rFonts w:ascii="Verdana" w:hAnsi="Verdana"/>
                <w:b/>
                <w:sz w:val="16"/>
                <w:szCs w:val="16"/>
              </w:rPr>
              <w:t>Del Procedimiento para la Migración de Asignaciones para Desarrollo Propio a Contratos para la Exploración y Extracción</w:t>
            </w:r>
          </w:p>
        </w:tc>
        <w:tc>
          <w:tcPr>
            <w:tcW w:w="4649" w:type="dxa"/>
          </w:tcPr>
          <w:p w14:paraId="68969F87" w14:textId="335206AE" w:rsidR="009849AC" w:rsidRPr="00837D4A" w:rsidRDefault="009849AC" w:rsidP="009849AC">
            <w:pPr>
              <w:pStyle w:val="Texto"/>
              <w:spacing w:after="98"/>
              <w:ind w:firstLine="0"/>
              <w:jc w:val="center"/>
              <w:rPr>
                <w:rFonts w:ascii="Verdana" w:hAnsi="Verdana"/>
                <w:b/>
                <w:sz w:val="16"/>
                <w:szCs w:val="16"/>
                <w:lang w:val="en-US"/>
              </w:rPr>
            </w:pPr>
            <w:r w:rsidRPr="00837D4A">
              <w:rPr>
                <w:rFonts w:ascii="Verdana" w:hAnsi="Verdana"/>
                <w:b/>
                <w:sz w:val="16"/>
                <w:szCs w:val="16"/>
                <w:lang w:val="en-US"/>
              </w:rPr>
              <w:t xml:space="preserve">Procedure for the Migration of Assignments for </w:t>
            </w:r>
            <w:proofErr w:type="spellStart"/>
            <w:r w:rsidRPr="00837D4A">
              <w:rPr>
                <w:rFonts w:ascii="Verdana" w:hAnsi="Verdana"/>
                <w:b/>
                <w:sz w:val="16"/>
                <w:szCs w:val="16"/>
                <w:lang w:val="en-US"/>
              </w:rPr>
              <w:t>Self Development</w:t>
            </w:r>
            <w:proofErr w:type="spellEnd"/>
            <w:r w:rsidRPr="00837D4A">
              <w:rPr>
                <w:rFonts w:ascii="Verdana" w:hAnsi="Verdana"/>
                <w:b/>
                <w:sz w:val="16"/>
                <w:szCs w:val="16"/>
                <w:lang w:val="en-US"/>
              </w:rPr>
              <w:t xml:space="preserve"> to Contracts for Exploration and Extraction</w:t>
            </w:r>
          </w:p>
        </w:tc>
      </w:tr>
      <w:tr w:rsidR="009849AC" w:rsidRPr="002314E3" w14:paraId="770AC603" w14:textId="7572ED62" w:rsidTr="00F867DE">
        <w:tc>
          <w:tcPr>
            <w:tcW w:w="4711" w:type="dxa"/>
          </w:tcPr>
          <w:p w14:paraId="3B2AE11C"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Artículo 42.</w:t>
            </w:r>
            <w:r w:rsidRPr="00837D4A">
              <w:rPr>
                <w:rFonts w:ascii="Verdana" w:hAnsi="Verdana"/>
                <w:sz w:val="16"/>
                <w:szCs w:val="16"/>
              </w:rPr>
              <w:t xml:space="preserve"> En caso de que Petróleos Mexicanos solicite la migración de una Asignación para Desarrollo Propio a un Contrato para la Exploración y Extracción, a que se refiere el artículo 54 de la Ley, debe presentar a la Secretaría una solicitud mediante el formato autorizado, el cual debe incluir cuando menos lo siguiente:</w:t>
            </w:r>
          </w:p>
        </w:tc>
        <w:tc>
          <w:tcPr>
            <w:tcW w:w="4649" w:type="dxa"/>
          </w:tcPr>
          <w:p w14:paraId="5509C5A8" w14:textId="6C708631"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Article 42. </w:t>
            </w:r>
            <w:r w:rsidRPr="00837D4A">
              <w:rPr>
                <w:rFonts w:ascii="Verdana" w:hAnsi="Verdana"/>
                <w:sz w:val="16"/>
                <w:szCs w:val="16"/>
                <w:lang w:val="en-US"/>
              </w:rPr>
              <w:t xml:space="preserve">In the event that Petróleos Mexicanos requests the migration of an Assignment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to an Exploration and Extraction Contract, as referred to in Article 54 of the Law, it must submit to the Secretary a request using the authorized form, which must include at least the following:</w:t>
            </w:r>
          </w:p>
        </w:tc>
      </w:tr>
      <w:tr w:rsidR="009849AC" w:rsidRPr="002314E3" w14:paraId="10F00BC1" w14:textId="72F09E03" w:rsidTr="00F867DE">
        <w:tc>
          <w:tcPr>
            <w:tcW w:w="4711" w:type="dxa"/>
          </w:tcPr>
          <w:p w14:paraId="735B4EEF"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identificación de la Asignación para Desarrollo Propio a migrar;</w:t>
            </w:r>
          </w:p>
        </w:tc>
        <w:tc>
          <w:tcPr>
            <w:tcW w:w="4649" w:type="dxa"/>
          </w:tcPr>
          <w:p w14:paraId="13EACD15" w14:textId="48CC1825"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identification of the Self-Development Assignment to be migrated;</w:t>
            </w:r>
          </w:p>
        </w:tc>
      </w:tr>
      <w:tr w:rsidR="009849AC" w:rsidRPr="002314E3" w14:paraId="6450AC0A" w14:textId="31CA5900" w:rsidTr="00F867DE">
        <w:tc>
          <w:tcPr>
            <w:tcW w:w="4711" w:type="dxa"/>
          </w:tcPr>
          <w:p w14:paraId="63FFB85D"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justificación de que la migración ofrece mayores beneficios que la sustitución a una Asignación para Desarrollo Mixto, la cual debe considerar:</w:t>
            </w:r>
          </w:p>
        </w:tc>
        <w:tc>
          <w:tcPr>
            <w:tcW w:w="4649" w:type="dxa"/>
          </w:tcPr>
          <w:p w14:paraId="3AC51B95" w14:textId="6950C99C"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justification that migration offers greater benefits than replacing a Mixed Development Assignment, which must consider:</w:t>
            </w:r>
          </w:p>
        </w:tc>
      </w:tr>
      <w:tr w:rsidR="009849AC" w:rsidRPr="002314E3" w14:paraId="3712124D" w14:textId="36C00104" w:rsidTr="00F867DE">
        <w:tc>
          <w:tcPr>
            <w:tcW w:w="4711" w:type="dxa"/>
          </w:tcPr>
          <w:p w14:paraId="05E4D6D3"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La producción base, y de ser el caso, incremental de Hidrocarburos, desglosada en Petróleo, Gas Natural Asociado, Gas Natural no Asociado y Condensados;</w:t>
            </w:r>
          </w:p>
        </w:tc>
        <w:tc>
          <w:tcPr>
            <w:tcW w:w="4649" w:type="dxa"/>
          </w:tcPr>
          <w:p w14:paraId="7EF3C0C7" w14:textId="219C0E13"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Base production, and if applicable, incremental production of Hydrocarbons, broken down into petroleum, Associated Natural Gas, Non-Associated Natural Gas and Condensates;</w:t>
            </w:r>
          </w:p>
        </w:tc>
      </w:tr>
      <w:tr w:rsidR="009849AC" w:rsidRPr="002314E3" w14:paraId="1484929E" w14:textId="683799B0" w:rsidTr="00F867DE">
        <w:tc>
          <w:tcPr>
            <w:tcW w:w="4711" w:type="dxa"/>
          </w:tcPr>
          <w:p w14:paraId="4B54EFE9"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La posibilidad de incorporar Reservas adicionales;</w:t>
            </w:r>
          </w:p>
        </w:tc>
        <w:tc>
          <w:tcPr>
            <w:tcW w:w="4649" w:type="dxa"/>
          </w:tcPr>
          <w:p w14:paraId="380FD778" w14:textId="4D1E3802"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The possibility of incorporating additional Reserves;</w:t>
            </w:r>
          </w:p>
        </w:tc>
      </w:tr>
      <w:tr w:rsidR="009849AC" w:rsidRPr="002314E3" w14:paraId="47692657" w14:textId="52C9EAF6" w:rsidTr="00F867DE">
        <w:tc>
          <w:tcPr>
            <w:tcW w:w="4711" w:type="dxa"/>
          </w:tcPr>
          <w:p w14:paraId="3CF96A20"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El escenario de gastos, costos e inversiones necesarios para un desarrollo eficiente desde un punto de vista técnico, que incluya un programa adicional de trabajo con respecto al original, y</w:t>
            </w:r>
          </w:p>
        </w:tc>
        <w:tc>
          <w:tcPr>
            <w:tcW w:w="4649" w:type="dxa"/>
          </w:tcPr>
          <w:p w14:paraId="2747CD70" w14:textId="1B57792C"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The scenario of expenses, costs and investments necessary for an efficient development from a technical point of view, which includes an additional work program with respect to the original, and</w:t>
            </w:r>
          </w:p>
        </w:tc>
      </w:tr>
      <w:tr w:rsidR="009849AC" w:rsidRPr="002314E3" w14:paraId="58302FF2" w14:textId="08A11503" w:rsidTr="00F867DE">
        <w:tc>
          <w:tcPr>
            <w:tcW w:w="4711" w:type="dxa"/>
          </w:tcPr>
          <w:p w14:paraId="27F0B3D8"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Cualquier otro elemento que Petróleos Mexicanos considere conveniente;</w:t>
            </w:r>
          </w:p>
        </w:tc>
        <w:tc>
          <w:tcPr>
            <w:tcW w:w="4649" w:type="dxa"/>
          </w:tcPr>
          <w:p w14:paraId="26AFC6F8" w14:textId="05D05BAA"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Any other element that Petróleos Mexicanos considers appropriate;</w:t>
            </w:r>
          </w:p>
        </w:tc>
      </w:tr>
      <w:tr w:rsidR="009849AC" w:rsidRPr="002314E3" w14:paraId="2B01C951" w14:textId="4070D862" w:rsidTr="00F867DE">
        <w:tc>
          <w:tcPr>
            <w:tcW w:w="4711" w:type="dxa"/>
          </w:tcPr>
          <w:p w14:paraId="4BAC45E2"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Los escenarios de precios utilizados;</w:t>
            </w:r>
          </w:p>
        </w:tc>
        <w:tc>
          <w:tcPr>
            <w:tcW w:w="4649" w:type="dxa"/>
          </w:tcPr>
          <w:p w14:paraId="4429FB99" w14:textId="25593198"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price scenarios used;</w:t>
            </w:r>
          </w:p>
        </w:tc>
      </w:tr>
      <w:tr w:rsidR="009849AC" w:rsidRPr="002314E3" w14:paraId="33C4508D" w14:textId="19A5E7D0" w:rsidTr="00F867DE">
        <w:tc>
          <w:tcPr>
            <w:tcW w:w="4711" w:type="dxa"/>
          </w:tcPr>
          <w:p w14:paraId="7E94F693"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Las características geológicas del área;</w:t>
            </w:r>
          </w:p>
        </w:tc>
        <w:tc>
          <w:tcPr>
            <w:tcW w:w="4649" w:type="dxa"/>
          </w:tcPr>
          <w:p w14:paraId="0CBAD821" w14:textId="69D06DD5"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geological characteristics of the area;</w:t>
            </w:r>
          </w:p>
        </w:tc>
      </w:tr>
      <w:tr w:rsidR="009849AC" w:rsidRPr="002314E3" w14:paraId="446C470A" w14:textId="77021AFD" w:rsidTr="00F867DE">
        <w:tc>
          <w:tcPr>
            <w:tcW w:w="4711" w:type="dxa"/>
          </w:tcPr>
          <w:p w14:paraId="0D530179"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 calidad, el contenido de azufre y grados API de los Hidrocarburos, según corresponda, desglosada en Petróleo, Gas Natural Asociado, Gas Natural no Asociado y Condensados;</w:t>
            </w:r>
          </w:p>
        </w:tc>
        <w:tc>
          <w:tcPr>
            <w:tcW w:w="4649" w:type="dxa"/>
          </w:tcPr>
          <w:p w14:paraId="26D2542C" w14:textId="7E3CBB66"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quality, sulfur content and API degrees of the hydrocarbons, as applicable, broken down into petroleum, Associated Natural Gas, Non-Associated Natural Gas and Condensates;</w:t>
            </w:r>
          </w:p>
        </w:tc>
      </w:tr>
      <w:tr w:rsidR="009849AC" w:rsidRPr="002314E3" w14:paraId="3178D8F6" w14:textId="6DF3E3FD" w:rsidTr="00F867DE">
        <w:tc>
          <w:tcPr>
            <w:tcW w:w="4711" w:type="dxa"/>
          </w:tcPr>
          <w:p w14:paraId="08EE1A6F"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 descripción de la infraestructura existente dentro y alrededor del Área de Asignación que se utilice o se prevea utilizar, y</w:t>
            </w:r>
          </w:p>
        </w:tc>
        <w:tc>
          <w:tcPr>
            <w:tcW w:w="4649" w:type="dxa"/>
          </w:tcPr>
          <w:p w14:paraId="407E501B" w14:textId="49671B6C"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A description of the existing infrastructure within and around the Assignment area that is used or planned to be used, and</w:t>
            </w:r>
          </w:p>
        </w:tc>
      </w:tr>
      <w:tr w:rsidR="009849AC" w:rsidRPr="002314E3" w14:paraId="111B7ECC" w14:textId="48D3E490" w:rsidTr="00F867DE">
        <w:tc>
          <w:tcPr>
            <w:tcW w:w="4711" w:type="dxa"/>
          </w:tcPr>
          <w:p w14:paraId="04281788"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lastRenderedPageBreak/>
              <w:t>VII.</w:t>
            </w:r>
            <w:r w:rsidRPr="00837D4A">
              <w:rPr>
                <w:rFonts w:ascii="Verdana" w:hAnsi="Verdana"/>
                <w:b/>
                <w:sz w:val="16"/>
                <w:szCs w:val="16"/>
              </w:rPr>
              <w:tab/>
            </w:r>
            <w:r w:rsidRPr="00837D4A">
              <w:rPr>
                <w:rFonts w:ascii="Verdana" w:hAnsi="Verdana"/>
                <w:sz w:val="16"/>
                <w:szCs w:val="16"/>
              </w:rPr>
              <w:t>En su caso, la manifestación del interés de celebrar una alianza o asociación con Personas Morales y la documentación que describa los elementos técnicos, financieros, de ejecución y de experiencia que deben reunir las Personas Morales para participar en el procedimiento de licitación a que se refiere el artículo 55 de la Ley, e incluir las propuestas de los términos bajo los cuales desea asociarse o aliarse y del acuerdo de operación conjunta.</w:t>
            </w:r>
          </w:p>
        </w:tc>
        <w:tc>
          <w:tcPr>
            <w:tcW w:w="4649" w:type="dxa"/>
          </w:tcPr>
          <w:p w14:paraId="03F45078" w14:textId="1DB32970"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Where applicable, the expression of interest in entering into an alliance or association with Legal Entities and the documentation describing the technical, financial, execution and experience elements that Legal Entities must meet to participate in the bidding procedure referred to in Article 55 of the Law, and including the proposed terms under which they wish to associate or ally and the joint operation agreement.</w:t>
            </w:r>
          </w:p>
        </w:tc>
      </w:tr>
      <w:tr w:rsidR="009849AC" w:rsidRPr="002314E3" w14:paraId="22538F90" w14:textId="4EBFAB23" w:rsidTr="00F867DE">
        <w:tc>
          <w:tcPr>
            <w:tcW w:w="4711" w:type="dxa"/>
          </w:tcPr>
          <w:p w14:paraId="66DC0909"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Artículo 43.</w:t>
            </w:r>
            <w:r w:rsidRPr="00837D4A">
              <w:rPr>
                <w:rFonts w:ascii="Verdana" w:hAnsi="Verdana"/>
                <w:sz w:val="16"/>
                <w:szCs w:val="16"/>
              </w:rPr>
              <w:t xml:space="preserve"> La Secretaría debe resolver sobre la procedencia de la solicitud de migración de una Asignación para Desarrollo Propio a un Contrato para la Exploración y Extracción.</w:t>
            </w:r>
          </w:p>
        </w:tc>
        <w:tc>
          <w:tcPr>
            <w:tcW w:w="4649" w:type="dxa"/>
          </w:tcPr>
          <w:p w14:paraId="2A15499D" w14:textId="256C8145"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Article 43. </w:t>
            </w:r>
            <w:r w:rsidRPr="00837D4A">
              <w:rPr>
                <w:rFonts w:ascii="Verdana" w:hAnsi="Verdana"/>
                <w:sz w:val="16"/>
                <w:szCs w:val="16"/>
                <w:lang w:val="en-US"/>
              </w:rPr>
              <w:t xml:space="preserve">The Secretary must decide on the appropriateness of the request to migrate an Assignment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to an Exploration and Extraction Contract.</w:t>
            </w:r>
          </w:p>
        </w:tc>
      </w:tr>
      <w:tr w:rsidR="009849AC" w:rsidRPr="002314E3" w14:paraId="6605FEA2" w14:textId="0DB5D518" w:rsidTr="00F867DE">
        <w:tc>
          <w:tcPr>
            <w:tcW w:w="4711" w:type="dxa"/>
          </w:tcPr>
          <w:p w14:paraId="7AB7535D"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sz w:val="16"/>
                <w:szCs w:val="16"/>
              </w:rPr>
              <w:t>Para lo anterior, se debe llevar a cabo el siguiente procedimiento:</w:t>
            </w:r>
          </w:p>
        </w:tc>
        <w:tc>
          <w:tcPr>
            <w:tcW w:w="4649" w:type="dxa"/>
          </w:tcPr>
          <w:p w14:paraId="13BCB105" w14:textId="04B0E7F5" w:rsidR="009849AC" w:rsidRPr="00837D4A" w:rsidRDefault="009849AC" w:rsidP="009849AC">
            <w:pPr>
              <w:pStyle w:val="Texto"/>
              <w:spacing w:after="98"/>
              <w:ind w:firstLine="0"/>
              <w:rPr>
                <w:rFonts w:ascii="Verdana" w:hAnsi="Verdana"/>
                <w:sz w:val="16"/>
                <w:szCs w:val="16"/>
                <w:lang w:val="en-US"/>
              </w:rPr>
            </w:pPr>
            <w:r w:rsidRPr="00837D4A">
              <w:rPr>
                <w:rFonts w:ascii="Verdana" w:hAnsi="Verdana"/>
                <w:sz w:val="16"/>
                <w:szCs w:val="16"/>
                <w:lang w:val="en-US"/>
              </w:rPr>
              <w:t>To do this, the following procedure must be carried out:</w:t>
            </w:r>
          </w:p>
        </w:tc>
      </w:tr>
      <w:tr w:rsidR="009849AC" w:rsidRPr="002314E3" w14:paraId="07F9B3CC" w14:textId="48DFC23D" w:rsidTr="00F867DE">
        <w:tc>
          <w:tcPr>
            <w:tcW w:w="4711" w:type="dxa"/>
          </w:tcPr>
          <w:p w14:paraId="0F0683C4"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Una vez recibida la solicitud, la Secretaría cuenta con un plazo máximo de quince días hábiles a efecto de admitirla a trámite o prevenir a Petróleos Mexicanos;</w:t>
            </w:r>
          </w:p>
        </w:tc>
        <w:tc>
          <w:tcPr>
            <w:tcW w:w="4649" w:type="dxa"/>
          </w:tcPr>
          <w:p w14:paraId="4B2B8B8E" w14:textId="2B5D057A"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Once the request has been received, the Secretary has a maximum period of fifteen business days to admit it for processing or notify Petróleos Mexicanos;</w:t>
            </w:r>
          </w:p>
        </w:tc>
      </w:tr>
      <w:tr w:rsidR="009849AC" w:rsidRPr="002314E3" w14:paraId="111413BC" w14:textId="6095A7EB" w:rsidTr="00F867DE">
        <w:tc>
          <w:tcPr>
            <w:tcW w:w="4711" w:type="dxa"/>
          </w:tcPr>
          <w:p w14:paraId="1173586D"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Petróleos Mexicanos cuenta con un plazo máximo de veinte días hábiles para atender las prevenciones, el cual puede ser prorrogable hasta por diez días hábiles por una sola ocasión;</w:t>
            </w:r>
          </w:p>
        </w:tc>
        <w:tc>
          <w:tcPr>
            <w:tcW w:w="4649" w:type="dxa"/>
          </w:tcPr>
          <w:p w14:paraId="6857BA56" w14:textId="74955D79"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Petróleos Mexicanos has a maximum period of twenty business days to address the concerns, which may be extended by up to ten business days for a single occasion;</w:t>
            </w:r>
          </w:p>
        </w:tc>
      </w:tr>
      <w:tr w:rsidR="009849AC" w:rsidRPr="002314E3" w14:paraId="71FE6A90" w14:textId="08945887" w:rsidTr="00F867DE">
        <w:tc>
          <w:tcPr>
            <w:tcW w:w="4711" w:type="dxa"/>
          </w:tcPr>
          <w:p w14:paraId="4A45C75F"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 xml:space="preserve">En caso de no desahogar la prevención, en tiempo y forma, el trámite debe desecharse. La Secretaría debe notificar a Petróleos Mexicanos sobre el </w:t>
            </w:r>
            <w:proofErr w:type="spellStart"/>
            <w:r w:rsidRPr="00837D4A">
              <w:rPr>
                <w:rFonts w:ascii="Verdana" w:hAnsi="Verdana"/>
                <w:sz w:val="16"/>
                <w:szCs w:val="16"/>
              </w:rPr>
              <w:t>desechamiento</w:t>
            </w:r>
            <w:proofErr w:type="spellEnd"/>
            <w:r w:rsidRPr="00837D4A">
              <w:rPr>
                <w:rFonts w:ascii="Verdana" w:hAnsi="Verdana"/>
                <w:sz w:val="16"/>
                <w:szCs w:val="16"/>
              </w:rPr>
              <w:t xml:space="preserve"> del trámite en un plazo no mayor a diez días hábiles;</w:t>
            </w:r>
          </w:p>
        </w:tc>
        <w:tc>
          <w:tcPr>
            <w:tcW w:w="4649" w:type="dxa"/>
          </w:tcPr>
          <w:p w14:paraId="3E14DA02" w14:textId="0331B6BC"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If the request is not addressed in a timely manner, the procedure must be dismissed. The Secretary must notify Petróleos Mexicanos of the dismissal of the procedure within a period of no more than ten business days;</w:t>
            </w:r>
          </w:p>
        </w:tc>
      </w:tr>
      <w:tr w:rsidR="009849AC" w:rsidRPr="002314E3" w14:paraId="04694F2B" w14:textId="40FC4396" w:rsidTr="00F867DE">
        <w:tc>
          <w:tcPr>
            <w:tcW w:w="4711" w:type="dxa"/>
          </w:tcPr>
          <w:p w14:paraId="484B1B76" w14:textId="77777777" w:rsidR="009849AC" w:rsidRPr="00837D4A" w:rsidRDefault="009849AC" w:rsidP="009849AC">
            <w:pPr>
              <w:pStyle w:val="Texto"/>
              <w:spacing w:after="98"/>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Secretaría debe resolver la procedencia o rechazo de la migración en un plazo de veinticinco días hábiles contados a partir de la admisión de la solicitud de migración, y</w:t>
            </w:r>
          </w:p>
        </w:tc>
        <w:tc>
          <w:tcPr>
            <w:tcW w:w="4649" w:type="dxa"/>
          </w:tcPr>
          <w:p w14:paraId="28B9A890" w14:textId="067589C9" w:rsidR="009849AC" w:rsidRPr="00837D4A" w:rsidRDefault="009849AC" w:rsidP="009849AC">
            <w:pPr>
              <w:pStyle w:val="Texto"/>
              <w:spacing w:after="98"/>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Secretary must decide on the admissibility or rejection of the migration within a period of twenty-five working days from the admission of the migration application, and</w:t>
            </w:r>
          </w:p>
        </w:tc>
      </w:tr>
      <w:tr w:rsidR="009849AC" w:rsidRPr="002314E3" w14:paraId="6FFAE373" w14:textId="75845255" w:rsidTr="00F867DE">
        <w:tc>
          <w:tcPr>
            <w:tcW w:w="4711" w:type="dxa"/>
          </w:tcPr>
          <w:p w14:paraId="570EDB2B"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 Secretaría debe notificar a Petróleos Mexicanos, de ser favorable, sobre el inicio del proceso para definir el Modelo de Contratación, los Términos y Condiciones Técnicos y las condiciones económicas relativas a los términos fiscales.</w:t>
            </w:r>
          </w:p>
        </w:tc>
        <w:tc>
          <w:tcPr>
            <w:tcW w:w="4649" w:type="dxa"/>
          </w:tcPr>
          <w:p w14:paraId="705785A8" w14:textId="632B219C"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Secretary must notify Petróleos Mexicanos, if favorable, about the beginning of the process to define the Contracting Model, the Technical Terms and Conditions and the economic conditions related to the fiscal terms.</w:t>
            </w:r>
          </w:p>
        </w:tc>
      </w:tr>
      <w:tr w:rsidR="009849AC" w:rsidRPr="002314E3" w14:paraId="721ED48D" w14:textId="68AF64C1" w:rsidTr="00F867DE">
        <w:tc>
          <w:tcPr>
            <w:tcW w:w="4711" w:type="dxa"/>
          </w:tcPr>
          <w:p w14:paraId="06F4A306"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44.</w:t>
            </w:r>
            <w:r w:rsidRPr="00837D4A">
              <w:rPr>
                <w:rFonts w:ascii="Verdana" w:hAnsi="Verdana"/>
                <w:sz w:val="16"/>
                <w:szCs w:val="16"/>
              </w:rPr>
              <w:t xml:space="preserve"> En caso de ser procedente la migración, la Secretaría debe remitir a la Secretaría de Hacienda y Crédito Público, en un plazo de diez días hábiles contados a partir de la emisión de la resolución correspondiente, la solicitud de la migración, la resolución de la procedencia de la migración, la propuesta de Modelo de Contratación que corresponda al Área Contractual y la información soporte que se determine en los convenios de coordinación que para tal efecto suscriban dichas dependencias.</w:t>
            </w:r>
          </w:p>
        </w:tc>
        <w:tc>
          <w:tcPr>
            <w:tcW w:w="4649" w:type="dxa"/>
          </w:tcPr>
          <w:p w14:paraId="2BB94184" w14:textId="162699D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44. </w:t>
            </w:r>
            <w:r w:rsidRPr="00837D4A">
              <w:rPr>
                <w:rFonts w:ascii="Verdana" w:hAnsi="Verdana"/>
                <w:sz w:val="16"/>
                <w:szCs w:val="16"/>
                <w:lang w:val="en-US"/>
              </w:rPr>
              <w:t>If migration is appropriate, the Secretary must send to the Secretary of Finance and Public Credit, within a period of ten business days from the issuance of the corresponding resolution, the migration request, the resolution on the appropriateness of the migration, the proposed Contracting Model corresponding to the Contractual Area and the supporting information determined in the coordination agreements signed for this purpose by said departments.</w:t>
            </w:r>
          </w:p>
        </w:tc>
      </w:tr>
      <w:tr w:rsidR="009849AC" w:rsidRPr="002314E3" w14:paraId="0BB7EB3F" w14:textId="7D133306" w:rsidTr="00F867DE">
        <w:tc>
          <w:tcPr>
            <w:tcW w:w="4711" w:type="dxa"/>
          </w:tcPr>
          <w:p w14:paraId="23CD07FB"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Secretaría de Hacienda y Crédito Público debe emitir su opinión sobre la propuesta de Modelo de Contratación, en un plazo de cinco días hábiles, contado a partir de la fecha de recepción de la información a la que se refiere el párrafo anterior.</w:t>
            </w:r>
          </w:p>
        </w:tc>
        <w:tc>
          <w:tcPr>
            <w:tcW w:w="4649" w:type="dxa"/>
          </w:tcPr>
          <w:p w14:paraId="649977B8" w14:textId="62C52456"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Secretary of Finance and Public Credit must issue its opinion on the proposed procurement model within five business days from the date of receipt of the information referred to in the preceding paragraph.</w:t>
            </w:r>
          </w:p>
        </w:tc>
      </w:tr>
      <w:tr w:rsidR="009849AC" w:rsidRPr="002314E3" w14:paraId="0FA8D2D4" w14:textId="6E92C880" w:rsidTr="00F867DE">
        <w:tc>
          <w:tcPr>
            <w:tcW w:w="4711" w:type="dxa"/>
          </w:tcPr>
          <w:p w14:paraId="29C8992B"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Una vez definido el Modelo de Contratación:</w:t>
            </w:r>
          </w:p>
        </w:tc>
        <w:tc>
          <w:tcPr>
            <w:tcW w:w="4649" w:type="dxa"/>
          </w:tcPr>
          <w:p w14:paraId="1022BD9B" w14:textId="1CFA408F"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Once the Contracting Model has been defined:</w:t>
            </w:r>
          </w:p>
        </w:tc>
      </w:tr>
      <w:tr w:rsidR="009849AC" w:rsidRPr="002314E3" w14:paraId="2F1E9F6C" w14:textId="1FD09464" w:rsidTr="00F867DE">
        <w:tc>
          <w:tcPr>
            <w:tcW w:w="4711" w:type="dxa"/>
          </w:tcPr>
          <w:p w14:paraId="5AACB813"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lastRenderedPageBreak/>
              <w:t>I.</w:t>
            </w:r>
            <w:r w:rsidRPr="00837D4A">
              <w:rPr>
                <w:rFonts w:ascii="Verdana" w:hAnsi="Verdana"/>
                <w:b/>
                <w:sz w:val="16"/>
                <w:szCs w:val="16"/>
              </w:rPr>
              <w:tab/>
            </w:r>
            <w:r w:rsidRPr="00837D4A">
              <w:rPr>
                <w:rFonts w:ascii="Verdana" w:hAnsi="Verdana"/>
                <w:sz w:val="16"/>
                <w:szCs w:val="16"/>
              </w:rPr>
              <w:t>La Secretaría cuenta con un plazo de veinte días hábiles para determinar los Términos y Condiciones Técnicos y solicitar a la Secretaría de Hacienda y Crédito Público que establezca las condiciones económicas relativas a los términos fiscales conforme a la Ley de Ingresos sobre Hidrocarburos y su reglamento;</w:t>
            </w:r>
          </w:p>
        </w:tc>
        <w:tc>
          <w:tcPr>
            <w:tcW w:w="4649" w:type="dxa"/>
          </w:tcPr>
          <w:p w14:paraId="1FD972D5" w14:textId="7E3CF7D2"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Secretary has a period of twenty business days to determine the Technical Terms and Conditions and request the Secretary of Finance and Public Credit to establish the economic conditions relating to the fiscal terms in accordance with the Law of Hydrocarbons Revenue and its Regulation;</w:t>
            </w:r>
          </w:p>
        </w:tc>
      </w:tr>
      <w:tr w:rsidR="009849AC" w:rsidRPr="002314E3" w14:paraId="7EE9EBDF" w14:textId="74171930" w:rsidTr="00F867DE">
        <w:tc>
          <w:tcPr>
            <w:tcW w:w="4711" w:type="dxa"/>
          </w:tcPr>
          <w:p w14:paraId="44D6C900"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Secretaría debe enviar a Petróleos Mexicanos los Términos y Condiciones Técnicos y económicos que al efecto se hayan establecido para que manifieste la aceptación o rechazo de estos, en un plazo de diez días hábiles.</w:t>
            </w:r>
          </w:p>
        </w:tc>
        <w:tc>
          <w:tcPr>
            <w:tcW w:w="4649" w:type="dxa"/>
          </w:tcPr>
          <w:p w14:paraId="352E2F0A" w14:textId="6655034B"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Secretary must send Petróleos Mexicanos the Technical and Economic Terms and Conditions established for this purpose so that it may express its acceptance or rejection of these, within a period of ten business days.</w:t>
            </w:r>
          </w:p>
        </w:tc>
      </w:tr>
      <w:tr w:rsidR="009849AC" w:rsidRPr="002314E3" w14:paraId="0E3E37A9" w14:textId="47CF5BFD" w:rsidTr="00F867DE">
        <w:tc>
          <w:tcPr>
            <w:tcW w:w="4711" w:type="dxa"/>
          </w:tcPr>
          <w:p w14:paraId="6F0AD946"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En caso de rechazo por parte de Petróleos Mexicanos, la Asignación para Desarrollo Propio debe mantenerse en sus términos originales.</w:t>
            </w:r>
          </w:p>
        </w:tc>
        <w:tc>
          <w:tcPr>
            <w:tcW w:w="4649" w:type="dxa"/>
          </w:tcPr>
          <w:p w14:paraId="7908CC14" w14:textId="7F5B451E"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In the event of rejection by Petróleos Mexicanos, the Self-Development Assignment must remain in its original terms.</w:t>
            </w:r>
          </w:p>
        </w:tc>
      </w:tr>
      <w:tr w:rsidR="009849AC" w:rsidRPr="002314E3" w14:paraId="45A0FF4D" w14:textId="618A0CEE" w:rsidTr="00F867DE">
        <w:tc>
          <w:tcPr>
            <w:tcW w:w="4711" w:type="dxa"/>
          </w:tcPr>
          <w:p w14:paraId="03EA1129"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En caso de que Petróleos Mexicanos manifieste su aceptación, la Secretaría debe suscribir el Contrato para la Exploración y Extracción en un plazo no mayor a veinticinco días hábiles;</w:t>
            </w:r>
          </w:p>
        </w:tc>
        <w:tc>
          <w:tcPr>
            <w:tcW w:w="4649" w:type="dxa"/>
          </w:tcPr>
          <w:p w14:paraId="081EF56F" w14:textId="6480767E"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In the event that Petróleos Mexicanos expresses its acceptance, the Secretary must sign the Exploration and Extraction Contract within a period of no more than twenty-five business days;</w:t>
            </w:r>
          </w:p>
        </w:tc>
      </w:tr>
      <w:tr w:rsidR="009849AC" w:rsidRPr="002314E3" w14:paraId="5AD26652" w14:textId="26BA572D" w:rsidTr="00F867DE">
        <w:tc>
          <w:tcPr>
            <w:tcW w:w="4711" w:type="dxa"/>
          </w:tcPr>
          <w:p w14:paraId="4C6F09A9"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En caso de que Petróleos Mexicanos haya manifestado interés por celebrar una alianza o asociación, el Contrato para la Exploración y Extracción debe formalizarse conforme a lo dispuesto en el artículo 55 de la Ley y los artículos aplicables de la Sección Segunda de este Capítulo, y</w:t>
            </w:r>
          </w:p>
        </w:tc>
        <w:tc>
          <w:tcPr>
            <w:tcW w:w="4649" w:type="dxa"/>
          </w:tcPr>
          <w:p w14:paraId="55AF277F" w14:textId="395817E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In the event that Petróleos Mexicanos has expressed interest in entering into an alliance or association, the Exploration and Extraction Contract must be formalized in accordance with the provisions of Article 55 of the Law and the applicable articles of the Second Section of this Chapter, and</w:t>
            </w:r>
          </w:p>
        </w:tc>
      </w:tr>
      <w:tr w:rsidR="009849AC" w:rsidRPr="002314E3" w14:paraId="6C6EC55E" w14:textId="3B8B1E49" w:rsidTr="00F867DE">
        <w:tc>
          <w:tcPr>
            <w:tcW w:w="4711" w:type="dxa"/>
          </w:tcPr>
          <w:p w14:paraId="54AC2E08"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Secretaría debe notificar a la Secretaría de Hacienda y Crédito Público y al Fondo Mexicano del Petróleo sobre la formalización del Contrato para la Exploración y Extracción, al quinto día hábil siguiente de la suscripción del mismo.</w:t>
            </w:r>
          </w:p>
        </w:tc>
        <w:tc>
          <w:tcPr>
            <w:tcW w:w="4649" w:type="dxa"/>
          </w:tcPr>
          <w:p w14:paraId="6315A69E" w14:textId="766D81EF"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Secretary must notify the Secretary of Finance and Public Credit and the Mexican Petroleum Fund of the formalization of the Exploration and Extraction Contract within five business days following its signing.</w:t>
            </w:r>
          </w:p>
        </w:tc>
      </w:tr>
      <w:tr w:rsidR="009849AC" w:rsidRPr="002314E3" w14:paraId="59B3F216" w14:textId="50A5DBE8" w:rsidTr="00F867DE">
        <w:tc>
          <w:tcPr>
            <w:tcW w:w="4711" w:type="dxa"/>
          </w:tcPr>
          <w:p w14:paraId="70968688"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45.</w:t>
            </w:r>
            <w:r w:rsidRPr="00837D4A">
              <w:rPr>
                <w:rFonts w:ascii="Verdana" w:hAnsi="Verdana"/>
                <w:sz w:val="16"/>
                <w:szCs w:val="16"/>
              </w:rPr>
              <w:t xml:space="preserve"> Cuando Petróleos Mexicanos manifieste su interés por celebrar una alianza o una asociación con una Persona Moral en un momento posterior a que se haya formalizado un Contrato para la Exploración y Extracción proveniente de una migración y en el que Petróleos Mexicanos y el Estado Mexicano, a través de la Secretaría, sean las únicas partes del Contrato para la Exploración y Extracción respectivo, la selección de la Persona Moral que forme parte de la alianza o asociación respectiva, se debe sujetar a lo dispuesto en el artículo 55 de la Ley y a los artículos aplicables de la Sección Segunda de este Capítulo.</w:t>
            </w:r>
          </w:p>
        </w:tc>
        <w:tc>
          <w:tcPr>
            <w:tcW w:w="4649" w:type="dxa"/>
          </w:tcPr>
          <w:p w14:paraId="05F22B53" w14:textId="13721F0C"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45. </w:t>
            </w:r>
            <w:r w:rsidRPr="00837D4A">
              <w:rPr>
                <w:rFonts w:ascii="Verdana" w:hAnsi="Verdana"/>
                <w:sz w:val="16"/>
                <w:szCs w:val="16"/>
                <w:lang w:val="en-US"/>
              </w:rPr>
              <w:t>When Petróleos Mexicanos expresses its interest in entering into an alliance or association with a Legal Entity at a time after a Contract for Exploration and Extraction resulting from a migration has been formalized and in which Petróleos Mexicanos and the Mexican State, through the Secretary, are the only parties to the respective Contract for Exploration and Extraction, the selection of the Legal Entity that will form part of the respective alliance or association must be subject to the provisions of Article 55 of the Law and the applicable articles of the Second Section of this Chapter.</w:t>
            </w:r>
          </w:p>
        </w:tc>
      </w:tr>
      <w:tr w:rsidR="009849AC" w:rsidRPr="00D0180E" w14:paraId="2CC2E14F" w14:textId="3674D30A" w:rsidTr="00F867DE">
        <w:tc>
          <w:tcPr>
            <w:tcW w:w="4711" w:type="dxa"/>
          </w:tcPr>
          <w:p w14:paraId="675B185F"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3AD0EFD7" w14:textId="109D065C" w:rsidR="009849AC" w:rsidRPr="00837D4A" w:rsidRDefault="009849AC" w:rsidP="009849AC">
            <w:pPr>
              <w:pStyle w:val="Texto"/>
              <w:ind w:firstLine="0"/>
              <w:jc w:val="center"/>
              <w:rPr>
                <w:rFonts w:ascii="Verdana" w:hAnsi="Verdana"/>
                <w:b/>
                <w:sz w:val="16"/>
                <w:szCs w:val="16"/>
                <w:lang w:val="en-US"/>
              </w:rPr>
            </w:pPr>
            <w:proofErr w:type="spellStart"/>
            <w:r w:rsidRPr="00837D4A">
              <w:rPr>
                <w:rFonts w:ascii="Verdana" w:hAnsi="Verdana"/>
                <w:b/>
                <w:sz w:val="16"/>
                <w:szCs w:val="16"/>
              </w:rPr>
              <w:t>Second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314E3" w14:paraId="7FDDA9DF" w14:textId="7C8DD056" w:rsidTr="00F867DE">
        <w:tc>
          <w:tcPr>
            <w:tcW w:w="4711" w:type="dxa"/>
          </w:tcPr>
          <w:p w14:paraId="4B4A63A6"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Del Proceso de Licitación de los Contratos para la Exploración y Extracción</w:t>
            </w:r>
          </w:p>
        </w:tc>
        <w:tc>
          <w:tcPr>
            <w:tcW w:w="4649" w:type="dxa"/>
          </w:tcPr>
          <w:p w14:paraId="677E6D26" w14:textId="732D5B29" w:rsidR="009849AC" w:rsidRPr="00837D4A" w:rsidRDefault="009849AC" w:rsidP="009849AC">
            <w:pPr>
              <w:pStyle w:val="Texto"/>
              <w:ind w:firstLine="0"/>
              <w:jc w:val="center"/>
              <w:rPr>
                <w:rFonts w:ascii="Verdana" w:hAnsi="Verdana"/>
                <w:b/>
                <w:sz w:val="16"/>
                <w:szCs w:val="16"/>
                <w:lang w:val="en-US"/>
              </w:rPr>
            </w:pPr>
            <w:r w:rsidRPr="00837D4A">
              <w:rPr>
                <w:rFonts w:ascii="Verdana" w:hAnsi="Verdana"/>
                <w:b/>
                <w:sz w:val="16"/>
                <w:szCs w:val="16"/>
                <w:lang w:val="en-US"/>
              </w:rPr>
              <w:t>Tendering Process for Exploration and Extraction Contracts</w:t>
            </w:r>
          </w:p>
        </w:tc>
      </w:tr>
      <w:tr w:rsidR="009849AC" w:rsidRPr="002314E3" w14:paraId="0199D49C" w14:textId="782E3905" w:rsidTr="00F867DE">
        <w:tc>
          <w:tcPr>
            <w:tcW w:w="4711" w:type="dxa"/>
          </w:tcPr>
          <w:p w14:paraId="75CAD6A8"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46.</w:t>
            </w:r>
            <w:r w:rsidRPr="00837D4A">
              <w:rPr>
                <w:rFonts w:ascii="Verdana" w:hAnsi="Verdana"/>
                <w:sz w:val="16"/>
                <w:szCs w:val="16"/>
              </w:rPr>
              <w:t xml:space="preserve"> Sujeto a lo previsto en el artículo 37 de la Ley y de así determinarlo la Secretaría, esta debe notificar a la Secretaría de Hacienda y Crédito Público, la intención de convocar a un proceso de licitación para adjudicar un Área Contractual, a efecto de que está manifieste su conformidad o rechazo a dicha intención. En caso de que la Secretaría de Hacienda y Crédito Público no esté de acuerdo, no se puede convocar al proceso de licitación respectivo.</w:t>
            </w:r>
          </w:p>
        </w:tc>
        <w:tc>
          <w:tcPr>
            <w:tcW w:w="4649" w:type="dxa"/>
          </w:tcPr>
          <w:p w14:paraId="204E7C70" w14:textId="1EDF9229"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46. </w:t>
            </w:r>
            <w:r w:rsidRPr="00837D4A">
              <w:rPr>
                <w:rFonts w:ascii="Verdana" w:hAnsi="Verdana"/>
                <w:sz w:val="16"/>
                <w:szCs w:val="16"/>
                <w:lang w:val="en-US"/>
              </w:rPr>
              <w:t>Subject to the provisions of Article 37 of the Law, and if so determined by the Secretary, the Secretary must notify the Secretary of Finance and Public Credit of its intention to call for a bidding process to award a Contract Area, so that the Secretary may express its agreement or rejection of said intention. If the Secretary of Finance and Public Credit does not agree, the respective bidding process may not be called.</w:t>
            </w:r>
          </w:p>
        </w:tc>
      </w:tr>
      <w:tr w:rsidR="009849AC" w:rsidRPr="002314E3" w14:paraId="510F7FE0" w14:textId="7E08A5D5" w:rsidTr="00F867DE">
        <w:tc>
          <w:tcPr>
            <w:tcW w:w="4711" w:type="dxa"/>
          </w:tcPr>
          <w:p w14:paraId="057E159B"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 xml:space="preserve">Como parte de la promoción y difusión de las licitaciones, la Secretaría debe publicar información </w:t>
            </w:r>
            <w:r w:rsidRPr="00837D4A">
              <w:rPr>
                <w:rFonts w:ascii="Verdana" w:hAnsi="Verdana"/>
                <w:sz w:val="16"/>
                <w:szCs w:val="16"/>
              </w:rPr>
              <w:lastRenderedPageBreak/>
              <w:t>sobre las áreas a licitar e instrumentar todo tipo de mecanismos que permitan la retroalimentación de las personas interesadas.</w:t>
            </w:r>
          </w:p>
        </w:tc>
        <w:tc>
          <w:tcPr>
            <w:tcW w:w="4649" w:type="dxa"/>
          </w:tcPr>
          <w:p w14:paraId="2CCED1B8" w14:textId="79A18DCC"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lastRenderedPageBreak/>
              <w:t xml:space="preserve">As part of the promotion and dissemination of tenders, the Secretary must publish information on the areas to </w:t>
            </w:r>
            <w:r w:rsidRPr="00837D4A">
              <w:rPr>
                <w:rFonts w:ascii="Verdana" w:hAnsi="Verdana"/>
                <w:sz w:val="16"/>
                <w:szCs w:val="16"/>
                <w:lang w:val="en-US"/>
              </w:rPr>
              <w:lastRenderedPageBreak/>
              <w:t>be tendered and implement all types of mechanisms that allow for feedback from interested parties.</w:t>
            </w:r>
          </w:p>
        </w:tc>
      </w:tr>
      <w:tr w:rsidR="009849AC" w:rsidRPr="00C52435" w14:paraId="3569CBA1" w14:textId="155044B5" w:rsidTr="00F867DE">
        <w:tc>
          <w:tcPr>
            <w:tcW w:w="4711" w:type="dxa"/>
          </w:tcPr>
          <w:p w14:paraId="5AA98BEC"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lastRenderedPageBreak/>
              <w:t>Artículo 47.</w:t>
            </w:r>
            <w:r w:rsidRPr="00837D4A">
              <w:rPr>
                <w:rFonts w:ascii="Verdana" w:hAnsi="Verdana"/>
                <w:sz w:val="16"/>
                <w:szCs w:val="16"/>
              </w:rPr>
              <w:t xml:space="preserve"> La convocatoria de cada proceso de licitación debe contener lo siguiente:</w:t>
            </w:r>
          </w:p>
        </w:tc>
        <w:tc>
          <w:tcPr>
            <w:tcW w:w="4649" w:type="dxa"/>
          </w:tcPr>
          <w:p w14:paraId="43688475" w14:textId="555CD1D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47. </w:t>
            </w:r>
            <w:r w:rsidRPr="00837D4A">
              <w:rPr>
                <w:rFonts w:ascii="Verdana" w:hAnsi="Verdana"/>
                <w:sz w:val="16"/>
                <w:szCs w:val="16"/>
                <w:lang w:val="en-US"/>
              </w:rPr>
              <w:t>The call for each bidding process must contain the following:</w:t>
            </w:r>
          </w:p>
        </w:tc>
      </w:tr>
      <w:tr w:rsidR="009849AC" w:rsidRPr="00C52435" w14:paraId="7396A891" w14:textId="1BAE58E5" w:rsidTr="00F867DE">
        <w:tc>
          <w:tcPr>
            <w:tcW w:w="4711" w:type="dxa"/>
          </w:tcPr>
          <w:p w14:paraId="36B5B2BC"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identificación del Área Contractual a ser licitada;</w:t>
            </w:r>
          </w:p>
        </w:tc>
        <w:tc>
          <w:tcPr>
            <w:tcW w:w="4649" w:type="dxa"/>
          </w:tcPr>
          <w:p w14:paraId="0A94FB3F" w14:textId="64EAC99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identification of the Contractual Area to be tendered;</w:t>
            </w:r>
          </w:p>
        </w:tc>
      </w:tr>
      <w:tr w:rsidR="009849AC" w:rsidRPr="00C52435" w14:paraId="6E83E878" w14:textId="10776041" w:rsidTr="00F867DE">
        <w:tc>
          <w:tcPr>
            <w:tcW w:w="4711" w:type="dxa"/>
          </w:tcPr>
          <w:p w14:paraId="75CDAD72"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Los Términos y Condiciones Técnicos;</w:t>
            </w:r>
          </w:p>
        </w:tc>
        <w:tc>
          <w:tcPr>
            <w:tcW w:w="4649" w:type="dxa"/>
          </w:tcPr>
          <w:p w14:paraId="4EB45236" w14:textId="1E44B7AB"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Technical Terms and Conditions;</w:t>
            </w:r>
          </w:p>
        </w:tc>
      </w:tr>
      <w:tr w:rsidR="009849AC" w:rsidRPr="00D0180E" w14:paraId="4DEC81D7" w14:textId="76C2CF16" w:rsidTr="00F867DE">
        <w:tc>
          <w:tcPr>
            <w:tcW w:w="4711" w:type="dxa"/>
          </w:tcPr>
          <w:p w14:paraId="557A3FC0"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Los Lineamientos Técnicos;</w:t>
            </w:r>
          </w:p>
        </w:tc>
        <w:tc>
          <w:tcPr>
            <w:tcW w:w="4649" w:type="dxa"/>
          </w:tcPr>
          <w:p w14:paraId="2A8F674B" w14:textId="4D46E0BB"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rPr>
              <w:t xml:space="preserve">III. </w:t>
            </w:r>
            <w:r w:rsidRPr="00837D4A">
              <w:rPr>
                <w:rFonts w:ascii="Verdana" w:hAnsi="Verdana"/>
                <w:b/>
                <w:sz w:val="16"/>
                <w:szCs w:val="16"/>
              </w:rPr>
              <w:tab/>
            </w:r>
            <w:proofErr w:type="spellStart"/>
            <w:r w:rsidRPr="00837D4A">
              <w:rPr>
                <w:rFonts w:ascii="Verdana" w:hAnsi="Verdana"/>
                <w:sz w:val="16"/>
                <w:szCs w:val="16"/>
              </w:rPr>
              <w:t>The</w:t>
            </w:r>
            <w:proofErr w:type="spellEnd"/>
            <w:r w:rsidRPr="00837D4A">
              <w:rPr>
                <w:rFonts w:ascii="Verdana" w:hAnsi="Verdana"/>
                <w:sz w:val="16"/>
                <w:szCs w:val="16"/>
              </w:rPr>
              <w:t xml:space="preserve"> </w:t>
            </w:r>
            <w:proofErr w:type="spellStart"/>
            <w:r w:rsidRPr="00837D4A">
              <w:rPr>
                <w:rFonts w:ascii="Verdana" w:hAnsi="Verdana"/>
                <w:sz w:val="16"/>
                <w:szCs w:val="16"/>
              </w:rPr>
              <w:t>Technical</w:t>
            </w:r>
            <w:proofErr w:type="spellEnd"/>
            <w:r w:rsidRPr="00837D4A">
              <w:rPr>
                <w:rFonts w:ascii="Verdana" w:hAnsi="Verdana"/>
                <w:sz w:val="16"/>
                <w:szCs w:val="16"/>
              </w:rPr>
              <w:t xml:space="preserve"> </w:t>
            </w:r>
            <w:proofErr w:type="spellStart"/>
            <w:r w:rsidRPr="00837D4A">
              <w:rPr>
                <w:rFonts w:ascii="Verdana" w:hAnsi="Verdana"/>
                <w:sz w:val="16"/>
                <w:szCs w:val="16"/>
              </w:rPr>
              <w:t>Guidelines</w:t>
            </w:r>
            <w:proofErr w:type="spellEnd"/>
            <w:r w:rsidRPr="00837D4A">
              <w:rPr>
                <w:rFonts w:ascii="Verdana" w:hAnsi="Verdana"/>
                <w:sz w:val="16"/>
                <w:szCs w:val="16"/>
              </w:rPr>
              <w:t>;</w:t>
            </w:r>
          </w:p>
        </w:tc>
      </w:tr>
      <w:tr w:rsidR="009849AC" w:rsidRPr="00C52435" w14:paraId="33D96D87" w14:textId="5A7A7C17" w:rsidTr="00F867DE">
        <w:tc>
          <w:tcPr>
            <w:tcW w:w="4711" w:type="dxa"/>
          </w:tcPr>
          <w:p w14:paraId="053DEDD3"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Las condiciones económicas relativas a los términos fiscales de los Contratos para la Exploración y Extracción, así como aquellas que deban observarse en el proceso de licitación, que establezca la Secretaría de Hacienda y Crédito Público conforme a la Ley de Ingresos sobre Hidrocarburos y su reglamento, y</w:t>
            </w:r>
          </w:p>
        </w:tc>
        <w:tc>
          <w:tcPr>
            <w:tcW w:w="4649" w:type="dxa"/>
          </w:tcPr>
          <w:p w14:paraId="27F76203" w14:textId="091DFB3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economic conditions relating to the fiscal terms of the Exploration and Extraction Contracts, as well as those that must be observed in the bidding process, established by the Secretary of Finance and Public Credit in accordance with the Law of Revenue from Hydrocarbons and its Regulation, and</w:t>
            </w:r>
          </w:p>
        </w:tc>
      </w:tr>
      <w:tr w:rsidR="009849AC" w:rsidRPr="00C52435" w14:paraId="6B0D4348" w14:textId="5877D6E5" w:rsidTr="00F867DE">
        <w:tc>
          <w:tcPr>
            <w:tcW w:w="4711" w:type="dxa"/>
          </w:tcPr>
          <w:p w14:paraId="374B9E86"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 opinión que emita la autoridad competente en materia de competencia económica en términos del artículo 51, fracción III de la Ley.</w:t>
            </w:r>
          </w:p>
        </w:tc>
        <w:tc>
          <w:tcPr>
            <w:tcW w:w="4649" w:type="dxa"/>
          </w:tcPr>
          <w:p w14:paraId="087BE5D0" w14:textId="75BEB139"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opinion issued by the appropriate authority in matters of economic competition in terms of article 51, section III of the Law.</w:t>
            </w:r>
          </w:p>
        </w:tc>
      </w:tr>
      <w:tr w:rsidR="009849AC" w:rsidRPr="00C52435" w14:paraId="4FA9F772" w14:textId="142C0F24" w:rsidTr="00F867DE">
        <w:tc>
          <w:tcPr>
            <w:tcW w:w="4711" w:type="dxa"/>
          </w:tcPr>
          <w:p w14:paraId="76DB21BB"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48.</w:t>
            </w:r>
            <w:r w:rsidRPr="00837D4A">
              <w:rPr>
                <w:rFonts w:ascii="Verdana" w:hAnsi="Verdana"/>
                <w:sz w:val="16"/>
                <w:szCs w:val="16"/>
              </w:rPr>
              <w:t xml:space="preserve"> Para cumplir con lo dispuesto en el artículo anterior, se debe observar el siguiente procedimiento:</w:t>
            </w:r>
          </w:p>
        </w:tc>
        <w:tc>
          <w:tcPr>
            <w:tcW w:w="4649" w:type="dxa"/>
          </w:tcPr>
          <w:p w14:paraId="794DA2DA" w14:textId="6D364A3E"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48. </w:t>
            </w:r>
            <w:r w:rsidRPr="00837D4A">
              <w:rPr>
                <w:rFonts w:ascii="Verdana" w:hAnsi="Verdana"/>
                <w:sz w:val="16"/>
                <w:szCs w:val="16"/>
                <w:lang w:val="en-US"/>
              </w:rPr>
              <w:t>To comply with the provisions of the preceding article, the following procedure must be observed:</w:t>
            </w:r>
          </w:p>
        </w:tc>
      </w:tr>
      <w:tr w:rsidR="009849AC" w:rsidRPr="00C52435" w14:paraId="39D93348" w14:textId="326D900A" w:rsidTr="00F867DE">
        <w:tc>
          <w:tcPr>
            <w:tcW w:w="4711" w:type="dxa"/>
          </w:tcPr>
          <w:p w14:paraId="4686BBA3"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Secretaría debe enviar a la Secretaría de Hacienda y Crédito Público la propuesta de Modelo de Contratación que corresponda al Área Contractual y la información soporte que se determine en los convenios de coordinación que para tal efecto suscriban dichas dependencias;</w:t>
            </w:r>
          </w:p>
        </w:tc>
        <w:tc>
          <w:tcPr>
            <w:tcW w:w="4649" w:type="dxa"/>
          </w:tcPr>
          <w:p w14:paraId="303B9970" w14:textId="68A9984D"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Secretary must send to the Secretary of Finance and Public Credit the proposal for the Contracting Model that corresponds to the Contractual Area and the supporting information determined in the coordination agreements signed for this purpose by said departments;</w:t>
            </w:r>
          </w:p>
        </w:tc>
      </w:tr>
      <w:tr w:rsidR="009849AC" w:rsidRPr="00C52435" w14:paraId="488D05E9" w14:textId="797A344D" w:rsidTr="00F867DE">
        <w:tc>
          <w:tcPr>
            <w:tcW w:w="4711" w:type="dxa"/>
          </w:tcPr>
          <w:p w14:paraId="5C912D8B"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Secretaría de Hacienda y Crédito Público debe emitir su opinión sobre la propuesta de Modelo de Contratación, en un plazo de cinco días hábiles contados a partir de la fecha de recepción de la propuesta e información a que se refiere la fracción anterior;</w:t>
            </w:r>
          </w:p>
        </w:tc>
        <w:tc>
          <w:tcPr>
            <w:tcW w:w="4649" w:type="dxa"/>
          </w:tcPr>
          <w:p w14:paraId="60356D46" w14:textId="11ED9DB4"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Secretary of Finance and Public Credit must issue its opinion on the proposed Procurement Model within a period of five business days from the date of receipt of the proposal and information referred to in the preceding section;</w:t>
            </w:r>
          </w:p>
        </w:tc>
      </w:tr>
      <w:tr w:rsidR="009849AC" w:rsidRPr="00C52435" w14:paraId="62E9F179" w14:textId="7CAE07A5" w:rsidTr="00F867DE">
        <w:tc>
          <w:tcPr>
            <w:tcW w:w="4711" w:type="dxa"/>
          </w:tcPr>
          <w:p w14:paraId="6528A25F"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Determinado el Modelo de Contratación, la Secretaría cuenta con un plazo de veinte días hábiles para determinar los Términos y Condiciones Técnicos y solicitar a la Secretaría de Hacienda y Crédito Público que establezca las condiciones económicas relativas a los términos fiscales conforme a la Ley de Ingresos sobre Hidrocarburos y su reglamento;</w:t>
            </w:r>
          </w:p>
        </w:tc>
        <w:tc>
          <w:tcPr>
            <w:tcW w:w="4649" w:type="dxa"/>
          </w:tcPr>
          <w:p w14:paraId="3B683064" w14:textId="4C1E2C33"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Once the Contracting Model has been determined, the Secretary has a period of twenty business days to determine the Technical Terms and Conditions and request the Secretary of Finance and Public Credit to establish the economic conditions relating to the fiscal terms in accordance with the Law of Revenue from Hydrocarbons and its Regulation;</w:t>
            </w:r>
          </w:p>
        </w:tc>
      </w:tr>
      <w:tr w:rsidR="009849AC" w:rsidRPr="00C52435" w14:paraId="413AE9E6" w14:textId="27153217" w:rsidTr="00F867DE">
        <w:tc>
          <w:tcPr>
            <w:tcW w:w="4711" w:type="dxa"/>
          </w:tcPr>
          <w:p w14:paraId="43E19C6D"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Secretaría de Economía, a solicitud de la Secretaría, debe emitir su opinión sobre el porcentaje mínimo de contenido nacional establecido en cada Contrato para la Exploración y Extracción, en un plazo de diez días hábiles, contados a partir del día siguiente en que surta efectos la notificación de solicitud de opinión por parte de la Secretaría.</w:t>
            </w:r>
          </w:p>
        </w:tc>
        <w:tc>
          <w:tcPr>
            <w:tcW w:w="4649" w:type="dxa"/>
          </w:tcPr>
          <w:p w14:paraId="732F53F3" w14:textId="7C1E74DA"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Secretary of Economy, at the request of the Secretary, must issue its opinion on the minimum percentage of national content established in each Exploration and Extraction Contract, within a period of ten business days, counted from the day after the notification of the request for opinion by the Secretary takes effect.</w:t>
            </w:r>
          </w:p>
        </w:tc>
      </w:tr>
      <w:tr w:rsidR="009849AC" w:rsidRPr="00C52435" w14:paraId="0CB25CB6" w14:textId="79B488EF" w:rsidTr="00F867DE">
        <w:tc>
          <w:tcPr>
            <w:tcW w:w="4711" w:type="dxa"/>
          </w:tcPr>
          <w:p w14:paraId="0C2BF067"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 xml:space="preserve">Del porcentaje mínimo de contenido nacional establecido en los Contratos para la Exploración y Extracción, se debe destinar a los componentes de capacitación, transferencia de tecnología e infraestructura un porcentaje específico, de acuerdo con </w:t>
            </w:r>
            <w:r w:rsidRPr="00837D4A">
              <w:rPr>
                <w:rFonts w:ascii="Verdana" w:hAnsi="Verdana"/>
                <w:sz w:val="16"/>
                <w:szCs w:val="16"/>
              </w:rPr>
              <w:lastRenderedPageBreak/>
              <w:t>el periodo en el que se encuentre, conforme a lo siguiente:</w:t>
            </w:r>
          </w:p>
        </w:tc>
        <w:tc>
          <w:tcPr>
            <w:tcW w:w="4649" w:type="dxa"/>
          </w:tcPr>
          <w:p w14:paraId="1DF63C2D" w14:textId="27E605B9"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rPr>
              <w:lastRenderedPageBreak/>
              <w:tab/>
            </w:r>
            <w:r w:rsidRPr="00837D4A">
              <w:rPr>
                <w:rFonts w:ascii="Verdana" w:hAnsi="Verdana"/>
                <w:sz w:val="16"/>
                <w:szCs w:val="16"/>
                <w:lang w:val="en-US"/>
              </w:rPr>
              <w:t>Of the minimum percentage of national content established in the Exploration and Extraction Contracts, a specific percentage must be allocated to the training, technology transfer and infrastructure components, according to the period in which it is found, as follows:</w:t>
            </w:r>
          </w:p>
        </w:tc>
      </w:tr>
      <w:tr w:rsidR="009849AC" w:rsidRPr="00C52435" w14:paraId="34EDE35A" w14:textId="0A6F4DDD" w:rsidTr="00F867DE">
        <w:tc>
          <w:tcPr>
            <w:tcW w:w="4711" w:type="dxa"/>
          </w:tcPr>
          <w:p w14:paraId="319B7BEC"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Si se encuentra en los periodos de Exploración, evaluación o transición, al menos, debe destinarse el uno por ciento del porcentaje del contenido nacional, o</w:t>
            </w:r>
          </w:p>
        </w:tc>
        <w:tc>
          <w:tcPr>
            <w:tcW w:w="4649" w:type="dxa"/>
          </w:tcPr>
          <w:p w14:paraId="6B0ABDA5" w14:textId="17CEA99D"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If it is in the exploration, evaluation or transition periods, at least one percent of the percentage of national content must be allocated, or</w:t>
            </w:r>
          </w:p>
        </w:tc>
      </w:tr>
      <w:tr w:rsidR="009849AC" w:rsidRPr="00C52435" w14:paraId="68B253FE" w14:textId="161A6326" w:rsidTr="00F867DE">
        <w:tc>
          <w:tcPr>
            <w:tcW w:w="4711" w:type="dxa"/>
          </w:tcPr>
          <w:p w14:paraId="2537CCA3"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Si se encuentra en el periodo de Extracción debe destinarse, al menos, el tres por ciento del porcentaje del contenido nacional.</w:t>
            </w:r>
          </w:p>
        </w:tc>
        <w:tc>
          <w:tcPr>
            <w:tcW w:w="4649" w:type="dxa"/>
          </w:tcPr>
          <w:p w14:paraId="0D5A5431" w14:textId="3711E68B"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If it is in the extraction period, at least three percent of the national content percentage must be allocated.</w:t>
            </w:r>
          </w:p>
        </w:tc>
      </w:tr>
      <w:tr w:rsidR="009849AC" w:rsidRPr="00C52435" w14:paraId="552E84D7" w14:textId="5D5C95CB" w:rsidTr="00F867DE">
        <w:tc>
          <w:tcPr>
            <w:tcW w:w="4711" w:type="dxa"/>
          </w:tcPr>
          <w:p w14:paraId="1C4D1BC1"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La Secretaría y la Secretaría de Economía deben establecer los mecanismos para el cumplimiento de los conceptos previstos en esta fracción;</w:t>
            </w:r>
          </w:p>
        </w:tc>
        <w:tc>
          <w:tcPr>
            <w:tcW w:w="4649" w:type="dxa"/>
          </w:tcPr>
          <w:p w14:paraId="43EB7D37" w14:textId="3CBF37F2"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The Secretary and the Secretary of Economy must establish the mechanisms for compliance with the concepts provided for in this section;</w:t>
            </w:r>
          </w:p>
        </w:tc>
      </w:tr>
      <w:tr w:rsidR="009849AC" w:rsidRPr="00C52435" w14:paraId="6448B5F5" w14:textId="3C2F731C" w:rsidTr="00F867DE">
        <w:tc>
          <w:tcPr>
            <w:tcW w:w="4711" w:type="dxa"/>
          </w:tcPr>
          <w:p w14:paraId="74AB221D" w14:textId="6248CEBF"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 xml:space="preserve">Recibidas las condiciones económicas relativas a los términos fiscales de los Contratos para la Exploración y Extracción, así como aquellas que deben observarse en el proceso de licitación que establezca la Secretaría de Hacienda y Crédito Público conforme a la Ley de Ingresos sobre Hidrocarburos y su reglamento, la Secretaría en un plazo de veinte días hábiles, debe elaborar los Lineamientos Técnicos que se deben observar en el proceso de licitación, y </w:t>
            </w:r>
          </w:p>
        </w:tc>
        <w:tc>
          <w:tcPr>
            <w:tcW w:w="4649" w:type="dxa"/>
          </w:tcPr>
          <w:p w14:paraId="035FC1A2" w14:textId="58CCF489"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Once the economic conditions relating to the fiscal terms of the Exploration and Extraction Contracts have been received, as well as those that must be observed in the bidding process established by the Secretary of Finance and Public Credit in accordance with the Law of Revenue from Hydrocarbons and its Regulation, the Secretary, within a period of twenty business days, must prepare the Technical Guidelines that must be observed in the bidding process, and</w:t>
            </w:r>
          </w:p>
        </w:tc>
      </w:tr>
      <w:tr w:rsidR="009849AC" w:rsidRPr="00C52435" w14:paraId="50BAF54F" w14:textId="0B9409C5" w:rsidTr="00F867DE">
        <w:tc>
          <w:tcPr>
            <w:tcW w:w="4711" w:type="dxa"/>
          </w:tcPr>
          <w:p w14:paraId="547968EB"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 Secretaría debe solicitar a la autoridad competente en materia de competencia económica la opinión a la que se refiere el artículo 51, fracción III de la Ley. Para efectos de esta opinión, la Secretaría, con base en la información remitida por la Secretaría de Hacienda y Crédito Público debe proporcionar a la autoridad competente en materia de competencia económica los elementos que justifiquen que los criterios de precalificación y el mecanismo de adjudicación propuestos se apegan a las mejores prácticas de la industria, así como a los principios generales en materia de libre concurrencia y competencia económica.</w:t>
            </w:r>
          </w:p>
        </w:tc>
        <w:tc>
          <w:tcPr>
            <w:tcW w:w="4649" w:type="dxa"/>
          </w:tcPr>
          <w:p w14:paraId="49477A98" w14:textId="71CC73CA"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The Secretary must request the appropriate authority in matters of economic competition to provide the opinion referred to in article 51, section III of the Law. For the purposes of this opinion, the Secretary, based on the information sent by the Secretary of Finance and Public Credit, must provide the appropriate authority in matters of economic competition with the elements that justify that the prequalification criteria and the proposed award mechanism adhere to the best practices of the industry, as well as to the general principles of free competition and economic competition.</w:t>
            </w:r>
          </w:p>
        </w:tc>
      </w:tr>
      <w:tr w:rsidR="009849AC" w:rsidRPr="00C52435" w14:paraId="51551345" w14:textId="5637039E" w:rsidTr="00F867DE">
        <w:tc>
          <w:tcPr>
            <w:tcW w:w="4711" w:type="dxa"/>
          </w:tcPr>
          <w:p w14:paraId="2F61ADCB"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La autoridad competente en materia de competencia económica, en el ámbito de las atribuciones que le confiere la Ley, puede en cualquier momento y sin perjuicio del plazo establecido en el artículo 51, fracción III de la Ley, requerir cualquier información adicional que estime pertinente en términos de la Ley Federal de Competencia Económica.</w:t>
            </w:r>
          </w:p>
        </w:tc>
        <w:tc>
          <w:tcPr>
            <w:tcW w:w="4649" w:type="dxa"/>
          </w:tcPr>
          <w:p w14:paraId="17929B8B" w14:textId="7A0E7046"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The appropriate authority in matters of economic competition, within the scope of the powers conferred upon it by the Law, may at any time and without prejudice to the period established in article 51, section III of the Law, request any additional information it deems pertinent in terms of the Federal Law on Economic Competition.</w:t>
            </w:r>
          </w:p>
        </w:tc>
      </w:tr>
      <w:tr w:rsidR="009849AC" w:rsidRPr="00C52435" w14:paraId="3D9FD928" w14:textId="6E65E07C" w:rsidTr="00F867DE">
        <w:tc>
          <w:tcPr>
            <w:tcW w:w="4711" w:type="dxa"/>
          </w:tcPr>
          <w:p w14:paraId="47D125B1"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49.</w:t>
            </w:r>
            <w:r w:rsidRPr="00837D4A">
              <w:rPr>
                <w:rFonts w:ascii="Verdana" w:hAnsi="Verdana"/>
                <w:sz w:val="16"/>
                <w:szCs w:val="16"/>
              </w:rPr>
              <w:t xml:space="preserve"> Los Lineamientos Técnicos deben contener por lo menos lo siguiente:</w:t>
            </w:r>
          </w:p>
        </w:tc>
        <w:tc>
          <w:tcPr>
            <w:tcW w:w="4649" w:type="dxa"/>
          </w:tcPr>
          <w:p w14:paraId="5561EFB4" w14:textId="7B583579"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49. </w:t>
            </w:r>
            <w:r w:rsidRPr="00837D4A">
              <w:rPr>
                <w:rFonts w:ascii="Verdana" w:hAnsi="Verdana"/>
                <w:sz w:val="16"/>
                <w:szCs w:val="16"/>
                <w:lang w:val="en-US"/>
              </w:rPr>
              <w:t>The Technical Guidelines must contain at least the following:</w:t>
            </w:r>
          </w:p>
        </w:tc>
      </w:tr>
      <w:tr w:rsidR="009849AC" w:rsidRPr="00C52435" w14:paraId="0B019872" w14:textId="2935B392" w:rsidTr="00F867DE">
        <w:tc>
          <w:tcPr>
            <w:tcW w:w="4711" w:type="dxa"/>
          </w:tcPr>
          <w:p w14:paraId="385AB5EA"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El objeto de la licitación;</w:t>
            </w:r>
          </w:p>
        </w:tc>
        <w:tc>
          <w:tcPr>
            <w:tcW w:w="4649" w:type="dxa"/>
          </w:tcPr>
          <w:p w14:paraId="0C36A017" w14:textId="02086350"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object of the tender;</w:t>
            </w:r>
          </w:p>
        </w:tc>
      </w:tr>
      <w:tr w:rsidR="009849AC" w:rsidRPr="00C52435" w14:paraId="18AD8D93" w14:textId="26A840BD" w:rsidTr="00F867DE">
        <w:tc>
          <w:tcPr>
            <w:tcW w:w="4711" w:type="dxa"/>
          </w:tcPr>
          <w:p w14:paraId="5741F700"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Los requisitos para acreditar los criterios de precalificación referidos en el artículo 50 de la Ley. Dichos requisitos pueden acreditarse mediante empresas relacionadas o por conducto de algún socio o integrante de un consorcio;</w:t>
            </w:r>
          </w:p>
        </w:tc>
        <w:tc>
          <w:tcPr>
            <w:tcW w:w="4649" w:type="dxa"/>
          </w:tcPr>
          <w:p w14:paraId="1FC856D9" w14:textId="16D6AD63"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requirements for accrediting the prequalification criteria referred to in Article 50 of the Law. These requirements may be accredited through related companies or through a partner or member of a consortium;</w:t>
            </w:r>
          </w:p>
        </w:tc>
      </w:tr>
      <w:tr w:rsidR="009849AC" w:rsidRPr="00C52435" w14:paraId="53BC054A" w14:textId="63B8818C" w:rsidTr="00F867DE">
        <w:tc>
          <w:tcPr>
            <w:tcW w:w="4711" w:type="dxa"/>
          </w:tcPr>
          <w:p w14:paraId="551CFA52"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En su caso, las características y términos de la participación del Estado mexicano a través de Petróleos Mexicanos de conformidad con el artículo 41 de la Ley;</w:t>
            </w:r>
          </w:p>
        </w:tc>
        <w:tc>
          <w:tcPr>
            <w:tcW w:w="4649" w:type="dxa"/>
          </w:tcPr>
          <w:p w14:paraId="384EB2F9" w14:textId="44C660B8"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Where applicable, the characteristics and terms of the participation of the Mexican State through Petróleos Mexicanos in accordance with Article 41 of the Law;</w:t>
            </w:r>
          </w:p>
        </w:tc>
      </w:tr>
      <w:tr w:rsidR="009849AC" w:rsidRPr="00C52435" w14:paraId="485BB86F" w14:textId="3E34CF80" w:rsidTr="00F867DE">
        <w:tc>
          <w:tcPr>
            <w:tcW w:w="4711" w:type="dxa"/>
          </w:tcPr>
          <w:p w14:paraId="6F23B821"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lastRenderedPageBreak/>
              <w:t>IV.</w:t>
            </w:r>
            <w:r w:rsidRPr="00837D4A">
              <w:rPr>
                <w:rFonts w:ascii="Verdana" w:hAnsi="Verdana"/>
                <w:b/>
                <w:sz w:val="16"/>
                <w:szCs w:val="16"/>
              </w:rPr>
              <w:tab/>
            </w:r>
            <w:r w:rsidRPr="00837D4A">
              <w:rPr>
                <w:rFonts w:ascii="Verdana" w:hAnsi="Verdana"/>
                <w:sz w:val="16"/>
                <w:szCs w:val="16"/>
              </w:rPr>
              <w:t>Las garantías de seriedad de las propuestas;</w:t>
            </w:r>
          </w:p>
        </w:tc>
        <w:tc>
          <w:tcPr>
            <w:tcW w:w="4649" w:type="dxa"/>
          </w:tcPr>
          <w:p w14:paraId="0B094190" w14:textId="097954B4"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Guarantees of seriousness of the proposals;</w:t>
            </w:r>
          </w:p>
        </w:tc>
      </w:tr>
      <w:tr w:rsidR="009849AC" w:rsidRPr="00C52435" w14:paraId="22913201" w14:textId="7D24DF8A" w:rsidTr="00F867DE">
        <w:tc>
          <w:tcPr>
            <w:tcW w:w="4711" w:type="dxa"/>
          </w:tcPr>
          <w:p w14:paraId="01BF4A47"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Las causales para no considerar o para desechar propuestas, y</w:t>
            </w:r>
          </w:p>
        </w:tc>
        <w:tc>
          <w:tcPr>
            <w:tcW w:w="4649" w:type="dxa"/>
          </w:tcPr>
          <w:p w14:paraId="0AA0B41C" w14:textId="0EB33969"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reasons for not considering or rejecting proposals, and</w:t>
            </w:r>
          </w:p>
        </w:tc>
      </w:tr>
      <w:tr w:rsidR="009849AC" w:rsidRPr="00C52435" w14:paraId="7BEF6CA8" w14:textId="522A5D21" w:rsidTr="00F867DE">
        <w:tc>
          <w:tcPr>
            <w:tcW w:w="4711" w:type="dxa"/>
          </w:tcPr>
          <w:p w14:paraId="37380A49"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Las causales para no celebrar Contratos para la Exploración y Extracción.</w:t>
            </w:r>
          </w:p>
        </w:tc>
        <w:tc>
          <w:tcPr>
            <w:tcW w:w="4649" w:type="dxa"/>
          </w:tcPr>
          <w:p w14:paraId="3E43955A" w14:textId="0CAE3795"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Reasons for not entering into Exploration and Extraction Contracts.</w:t>
            </w:r>
          </w:p>
        </w:tc>
      </w:tr>
      <w:tr w:rsidR="009849AC" w:rsidRPr="00C52435" w14:paraId="458E34D2" w14:textId="41C579C8" w:rsidTr="00F867DE">
        <w:tc>
          <w:tcPr>
            <w:tcW w:w="4711" w:type="dxa"/>
          </w:tcPr>
          <w:p w14:paraId="2B285694"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50.</w:t>
            </w:r>
            <w:r w:rsidRPr="00837D4A">
              <w:rPr>
                <w:rFonts w:ascii="Verdana" w:hAnsi="Verdana"/>
                <w:sz w:val="16"/>
                <w:szCs w:val="16"/>
              </w:rPr>
              <w:t xml:space="preserve"> Las bases de licitación para la adjudicación de Contratos para la Exploración y Extracción que la Secretaría debe emitir, además de incluir lo previsto en los artículos 51 de la Ley; y en los artículos 47 y 48 del presente reglamento, deben prever lo siguiente:</w:t>
            </w:r>
          </w:p>
        </w:tc>
        <w:tc>
          <w:tcPr>
            <w:tcW w:w="4649" w:type="dxa"/>
          </w:tcPr>
          <w:p w14:paraId="4FDDD090" w14:textId="1A24484B"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50. </w:t>
            </w:r>
            <w:r w:rsidRPr="00837D4A">
              <w:rPr>
                <w:rFonts w:ascii="Verdana" w:hAnsi="Verdana"/>
                <w:sz w:val="16"/>
                <w:szCs w:val="16"/>
                <w:lang w:val="en-US"/>
              </w:rPr>
              <w:t>The bidding conditions for the award of Exploration and Extraction Contracts that the Secretary must issue, in addition to including the provisions of Article 51 of the Law and Articles 47 and 48 of this Regulation, must provide for the following:</w:t>
            </w:r>
          </w:p>
        </w:tc>
      </w:tr>
      <w:tr w:rsidR="009849AC" w:rsidRPr="00D0180E" w14:paraId="73F4FB10" w14:textId="0B96F52A" w:rsidTr="00F867DE">
        <w:tc>
          <w:tcPr>
            <w:tcW w:w="4711" w:type="dxa"/>
          </w:tcPr>
          <w:p w14:paraId="7B8D39F2"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El proceso de precalificación;</w:t>
            </w:r>
          </w:p>
        </w:tc>
        <w:tc>
          <w:tcPr>
            <w:tcW w:w="4649" w:type="dxa"/>
          </w:tcPr>
          <w:p w14:paraId="3947FF5C" w14:textId="44D0570D"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rPr>
              <w:t xml:space="preserve">I. </w:t>
            </w:r>
            <w:r w:rsidRPr="00837D4A">
              <w:rPr>
                <w:rFonts w:ascii="Verdana" w:hAnsi="Verdana"/>
                <w:b/>
                <w:sz w:val="16"/>
                <w:szCs w:val="16"/>
              </w:rPr>
              <w:tab/>
            </w:r>
            <w:proofErr w:type="spellStart"/>
            <w:r w:rsidRPr="00837D4A">
              <w:rPr>
                <w:rFonts w:ascii="Verdana" w:hAnsi="Verdana"/>
                <w:sz w:val="16"/>
                <w:szCs w:val="16"/>
              </w:rPr>
              <w:t>The</w:t>
            </w:r>
            <w:proofErr w:type="spellEnd"/>
            <w:r w:rsidRPr="00837D4A">
              <w:rPr>
                <w:rFonts w:ascii="Verdana" w:hAnsi="Verdana"/>
                <w:sz w:val="16"/>
                <w:szCs w:val="16"/>
              </w:rPr>
              <w:t xml:space="preserve"> </w:t>
            </w:r>
            <w:proofErr w:type="spellStart"/>
            <w:r w:rsidRPr="00837D4A">
              <w:rPr>
                <w:rFonts w:ascii="Verdana" w:hAnsi="Verdana"/>
                <w:sz w:val="16"/>
                <w:szCs w:val="16"/>
              </w:rPr>
              <w:t>prequalification</w:t>
            </w:r>
            <w:proofErr w:type="spellEnd"/>
            <w:r w:rsidRPr="00837D4A">
              <w:rPr>
                <w:rFonts w:ascii="Verdana" w:hAnsi="Verdana"/>
                <w:sz w:val="16"/>
                <w:szCs w:val="16"/>
              </w:rPr>
              <w:t xml:space="preserve"> </w:t>
            </w:r>
            <w:proofErr w:type="spellStart"/>
            <w:r w:rsidRPr="00837D4A">
              <w:rPr>
                <w:rFonts w:ascii="Verdana" w:hAnsi="Verdana"/>
                <w:sz w:val="16"/>
                <w:szCs w:val="16"/>
              </w:rPr>
              <w:t>process</w:t>
            </w:r>
            <w:proofErr w:type="spellEnd"/>
            <w:r w:rsidRPr="00837D4A">
              <w:rPr>
                <w:rFonts w:ascii="Verdana" w:hAnsi="Verdana"/>
                <w:sz w:val="16"/>
                <w:szCs w:val="16"/>
              </w:rPr>
              <w:t>;</w:t>
            </w:r>
          </w:p>
        </w:tc>
      </w:tr>
      <w:tr w:rsidR="009849AC" w:rsidRPr="00C52435" w14:paraId="63A2EC88" w14:textId="1A1C419E" w:rsidTr="00F867DE">
        <w:tc>
          <w:tcPr>
            <w:tcW w:w="4711" w:type="dxa"/>
          </w:tcPr>
          <w:p w14:paraId="18508249"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emisión del fallo por parte de la Secretaría;</w:t>
            </w:r>
          </w:p>
        </w:tc>
        <w:tc>
          <w:tcPr>
            <w:tcW w:w="4649" w:type="dxa"/>
          </w:tcPr>
          <w:p w14:paraId="490E1208" w14:textId="54236020"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issuance of the ruling by the Secretary;</w:t>
            </w:r>
          </w:p>
        </w:tc>
      </w:tr>
      <w:tr w:rsidR="009849AC" w:rsidRPr="00C52435" w14:paraId="7C375BE0" w14:textId="3BD68942" w:rsidTr="00F867DE">
        <w:tc>
          <w:tcPr>
            <w:tcW w:w="4711" w:type="dxa"/>
          </w:tcPr>
          <w:p w14:paraId="7C58F837"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Otros actos y etapas establecidos conforme a la Normatividad que para tal efecto debe emitir la Secretaría, y</w:t>
            </w:r>
          </w:p>
        </w:tc>
        <w:tc>
          <w:tcPr>
            <w:tcW w:w="4649" w:type="dxa"/>
          </w:tcPr>
          <w:p w14:paraId="305C8657" w14:textId="5DE269EF"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Other acts and stages established in accordance with the Regulation that the Secretary must issue for such purpose, and</w:t>
            </w:r>
          </w:p>
        </w:tc>
      </w:tr>
      <w:tr w:rsidR="009849AC" w:rsidRPr="00C52435" w14:paraId="2CE33A6A" w14:textId="689A7784" w:rsidTr="00F867DE">
        <w:tc>
          <w:tcPr>
            <w:tcW w:w="4711" w:type="dxa"/>
          </w:tcPr>
          <w:p w14:paraId="72CC90F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meta de contenido nacional establecida conforme al artículo 74, párrafos primero y segundo de la Ley, según corresponda, así como el porcentaje mínimo de contenido nacional a que se refiere el artículo 74, párrafo tercero de la Ley; y lo establecido en el artículo 48, fracción IV de este reglamento.</w:t>
            </w:r>
          </w:p>
        </w:tc>
        <w:tc>
          <w:tcPr>
            <w:tcW w:w="4649" w:type="dxa"/>
          </w:tcPr>
          <w:p w14:paraId="08E800D6" w14:textId="09B77085"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national content target established pursuant to Article 74, paragraphs one and two, of the Law, as applicable, as well as the minimum percentage of national content referred to in Article 74, paragraph three, of the Law; and the provisions of Article 48, Section IV, of this Regulation.</w:t>
            </w:r>
          </w:p>
        </w:tc>
      </w:tr>
      <w:tr w:rsidR="009849AC" w:rsidRPr="00C52435" w14:paraId="7BE41E13" w14:textId="4774CB36" w:rsidTr="00F867DE">
        <w:tc>
          <w:tcPr>
            <w:tcW w:w="4711" w:type="dxa"/>
          </w:tcPr>
          <w:p w14:paraId="2444BBC4"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Las bases de licitación pueden prever, entre otros supuestos y según lo determinen las dependencias competentes, la adjudicación de uno o varios Contratos para la Exploración y Extracción; abarcar una o varias Áreas Contractuales; la posibilidad de participar en la licitación por una o varias de dichas áreas, así como cualquier otro mecanismo o regla que se considere adecuada para la mejor realización de los procesos de licitación.</w:t>
            </w:r>
          </w:p>
        </w:tc>
        <w:tc>
          <w:tcPr>
            <w:tcW w:w="4649" w:type="dxa"/>
          </w:tcPr>
          <w:p w14:paraId="66A4BCAB" w14:textId="019BD2FD"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The bidding conditions may provide, among other conditions and as determined by the appropriate authorities, for the award of one or more Exploration and Extraction Contracts; cover one or more Contract Areas; the possibility of participating in the bidding process for one or more of said areas; as well as any other mechanism or rule deemed appropriate for the most efficient conduct of the bidding process.</w:t>
            </w:r>
          </w:p>
        </w:tc>
      </w:tr>
      <w:tr w:rsidR="009849AC" w:rsidRPr="00C52435" w14:paraId="5A281920" w14:textId="58E6D518" w:rsidTr="00F867DE">
        <w:tc>
          <w:tcPr>
            <w:tcW w:w="4711" w:type="dxa"/>
          </w:tcPr>
          <w:p w14:paraId="7962B0D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51.</w:t>
            </w:r>
            <w:r w:rsidRPr="00837D4A">
              <w:rPr>
                <w:rFonts w:ascii="Verdana" w:hAnsi="Verdana"/>
                <w:sz w:val="16"/>
                <w:szCs w:val="16"/>
              </w:rPr>
              <w:t xml:space="preserve"> En los casos en que Petróleos Mexicanos solicite la alianza o asociación, en los supuestos a que se refieren los artículos 42, fracción VII; 44, párrafo tercero, fracción III, y 45 de este reglamento, la Secretaría de Hacienda y Crédito Público y la Secretaría deben cumplir con lo previsto en el artículo 48, fracciones I, II y III del presente reglamento. La Secretaría de Hacienda y Crédito Público debe emitir su opinión sobre las propuestas de los términos de asociación o alianza y del acuerdo de operación conjunta en un plazo de diez días hábiles a partir de la recepción de la solicitud.</w:t>
            </w:r>
          </w:p>
        </w:tc>
        <w:tc>
          <w:tcPr>
            <w:tcW w:w="4649" w:type="dxa"/>
          </w:tcPr>
          <w:p w14:paraId="2A89E5EB" w14:textId="36CFD111"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51. </w:t>
            </w:r>
            <w:r w:rsidRPr="00837D4A">
              <w:rPr>
                <w:rFonts w:ascii="Verdana" w:hAnsi="Verdana"/>
                <w:sz w:val="16"/>
                <w:szCs w:val="16"/>
                <w:lang w:val="en-US"/>
              </w:rPr>
              <w:t>In cases where Petróleos Mexicanos requests an alliance or partnership, in the cases referred to in Articles 42, Section VII; 44, third paragraph, Section III; and 45 of this Regulation, the Secretary of Finance and Public Credit and the Secretary must comply with the provisions of Article 48, Sections I, II, and III of this Regulation. The Secretary of Finance and Public Credit must issue its opinion on the proposed terms of the association or alliance and the joint operating agreement within ten business days of receiving the request.</w:t>
            </w:r>
          </w:p>
        </w:tc>
      </w:tr>
      <w:tr w:rsidR="009849AC" w:rsidRPr="00C52435" w14:paraId="1D4ED25E" w14:textId="074626F1" w:rsidTr="00F867DE">
        <w:tc>
          <w:tcPr>
            <w:tcW w:w="4711" w:type="dxa"/>
          </w:tcPr>
          <w:p w14:paraId="4F58D0CB"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La Secretaría puede realizar adecuaciones a los términos de asociación y al acuerdo de operación conjunta.</w:t>
            </w:r>
          </w:p>
        </w:tc>
        <w:tc>
          <w:tcPr>
            <w:tcW w:w="4649" w:type="dxa"/>
          </w:tcPr>
          <w:p w14:paraId="2950925E" w14:textId="7748C28C"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The Secretary may make adjustments to the terms of the partnership and the joint operating agreement.</w:t>
            </w:r>
          </w:p>
        </w:tc>
      </w:tr>
      <w:tr w:rsidR="009849AC" w:rsidRPr="00C52435" w14:paraId="4F803459" w14:textId="130BD713" w:rsidTr="00F867DE">
        <w:tc>
          <w:tcPr>
            <w:tcW w:w="4711" w:type="dxa"/>
          </w:tcPr>
          <w:p w14:paraId="73E912B9"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52.</w:t>
            </w:r>
            <w:r w:rsidRPr="00837D4A">
              <w:rPr>
                <w:rFonts w:ascii="Verdana" w:hAnsi="Verdana"/>
                <w:sz w:val="16"/>
                <w:szCs w:val="16"/>
              </w:rPr>
              <w:t xml:space="preserve"> Una vez cumplido con lo dispuesto en el artículo anterior, la Secretaría debe solicitar a Petróleos Mexicanos su opinión favorable respecto de los elementos técnicos, financieros, de ejecución y de experiencia e incluir, en su caso, las adecuaciones a que se refiere el artículo 51, último párrafo de este </w:t>
            </w:r>
            <w:r w:rsidRPr="00837D4A">
              <w:rPr>
                <w:rFonts w:ascii="Verdana" w:hAnsi="Verdana"/>
                <w:sz w:val="16"/>
                <w:szCs w:val="16"/>
              </w:rPr>
              <w:lastRenderedPageBreak/>
              <w:t>reglamento, que se deben reunir para participar en la licitación, conforme al artículo 55, párrafo tercero de la Ley.</w:t>
            </w:r>
          </w:p>
        </w:tc>
        <w:tc>
          <w:tcPr>
            <w:tcW w:w="4649" w:type="dxa"/>
          </w:tcPr>
          <w:p w14:paraId="4846ACD9" w14:textId="49383E93"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52. </w:t>
            </w:r>
            <w:r w:rsidRPr="00837D4A">
              <w:rPr>
                <w:rFonts w:ascii="Verdana" w:hAnsi="Verdana"/>
                <w:sz w:val="16"/>
                <w:szCs w:val="16"/>
                <w:lang w:val="en-US"/>
              </w:rPr>
              <w:t xml:space="preserve">Once the provisions of the preceding article have been complied with, the Secretary must request Petróleos Mexicanos' favorable opinion regarding the technical, financial, execution and experience elements and include, where applicable, the adjustments referred to in article 51, last paragraph of this regulation, which </w:t>
            </w:r>
            <w:r w:rsidRPr="00837D4A">
              <w:rPr>
                <w:rFonts w:ascii="Verdana" w:hAnsi="Verdana"/>
                <w:sz w:val="16"/>
                <w:szCs w:val="16"/>
                <w:lang w:val="en-US"/>
              </w:rPr>
              <w:lastRenderedPageBreak/>
              <w:t>must be met to participate in the bidding, in accordance with article 55, third paragraph of the Law.</w:t>
            </w:r>
          </w:p>
        </w:tc>
      </w:tr>
      <w:tr w:rsidR="009849AC" w:rsidRPr="00C52435" w14:paraId="36619B09" w14:textId="5A61DC78" w:rsidTr="00F867DE">
        <w:tc>
          <w:tcPr>
            <w:tcW w:w="4711" w:type="dxa"/>
          </w:tcPr>
          <w:p w14:paraId="04651EF7"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lastRenderedPageBreak/>
              <w:t>Petróleos Mexicanos cuenta con un plazo de diez días hábiles para emitir la opinión referida, en la cual no puede:</w:t>
            </w:r>
          </w:p>
        </w:tc>
        <w:tc>
          <w:tcPr>
            <w:tcW w:w="4649" w:type="dxa"/>
          </w:tcPr>
          <w:p w14:paraId="7753C70D" w14:textId="01FA339C"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Petróleos Mexicanos has a period of ten business days to issue the aforementioned opinion, in which case it may not:</w:t>
            </w:r>
          </w:p>
        </w:tc>
      </w:tr>
      <w:tr w:rsidR="009849AC" w:rsidRPr="00C52435" w14:paraId="6F1A1DA8" w14:textId="6408274B" w:rsidTr="00F867DE">
        <w:tc>
          <w:tcPr>
            <w:tcW w:w="4711" w:type="dxa"/>
          </w:tcPr>
          <w:p w14:paraId="59856FA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Proponer requisitos discriminatorios o que de cualquier otra forma puedan tener el efecto de excluir injustificadamente a potenciales personas interesadas y que no estén estrictamente asociados a los elementos técnicos, financieros, de ejecución y de experiencia a que se refiere el artículo 50 de la Ley;</w:t>
            </w:r>
          </w:p>
        </w:tc>
        <w:tc>
          <w:tcPr>
            <w:tcW w:w="4649" w:type="dxa"/>
          </w:tcPr>
          <w:p w14:paraId="27D865E7" w14:textId="769A9899"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Propose discriminatory requirements or those that in any other way may have the effect of unjustifiably excluding potential interested parties and that are not strictly associated with the technical, financial, execution and experience elements referred to in Article 50 of the Law;</w:t>
            </w:r>
          </w:p>
        </w:tc>
      </w:tr>
      <w:tr w:rsidR="009849AC" w:rsidRPr="00C52435" w14:paraId="452D9457" w14:textId="33CA19D9" w:rsidTr="00F867DE">
        <w:tc>
          <w:tcPr>
            <w:tcW w:w="4711" w:type="dxa"/>
          </w:tcPr>
          <w:p w14:paraId="57F09FC1"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Proponer restricciones que no sean proporcionales a las características y necesidades de cada proyecto, y</w:t>
            </w:r>
          </w:p>
        </w:tc>
        <w:tc>
          <w:tcPr>
            <w:tcW w:w="4649" w:type="dxa"/>
          </w:tcPr>
          <w:p w14:paraId="6B4E65E2" w14:textId="23DD16E1"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Propose restrictions that are not proportional to the characteristics and needs of each project, and</w:t>
            </w:r>
          </w:p>
        </w:tc>
      </w:tr>
      <w:tr w:rsidR="009849AC" w:rsidRPr="00C52435" w14:paraId="308C17D6" w14:textId="39A776F4" w:rsidTr="00F867DE">
        <w:tc>
          <w:tcPr>
            <w:tcW w:w="4711" w:type="dxa"/>
          </w:tcPr>
          <w:p w14:paraId="00A0B6A9"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Proponer restricciones que no tengan claridad en su definición y alcance.</w:t>
            </w:r>
          </w:p>
        </w:tc>
        <w:tc>
          <w:tcPr>
            <w:tcW w:w="4649" w:type="dxa"/>
          </w:tcPr>
          <w:p w14:paraId="688B3F30" w14:textId="73C37281"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Propose restrictions that are not clear in their definition and scope.</w:t>
            </w:r>
          </w:p>
        </w:tc>
      </w:tr>
      <w:tr w:rsidR="009849AC" w:rsidRPr="00C52435" w14:paraId="549B357D" w14:textId="4103F864" w:rsidTr="00F867DE">
        <w:tc>
          <w:tcPr>
            <w:tcW w:w="4711" w:type="dxa"/>
          </w:tcPr>
          <w:p w14:paraId="097B2731"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Concluido con lo anterior, debe estarse a lo previsto en el artículo 48, fracciones IV, V y VI del presente reglamento.</w:t>
            </w:r>
          </w:p>
        </w:tc>
        <w:tc>
          <w:tcPr>
            <w:tcW w:w="4649" w:type="dxa"/>
          </w:tcPr>
          <w:p w14:paraId="505CFA01" w14:textId="2C0CA49E"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Having concluded the above, the provisions of article 48, sections IV, V and VI of this regulation must be adhered to.</w:t>
            </w:r>
          </w:p>
        </w:tc>
      </w:tr>
      <w:tr w:rsidR="009849AC" w:rsidRPr="00C52435" w14:paraId="36DA3DBB" w14:textId="19EFE4DD" w:rsidTr="00F867DE">
        <w:tc>
          <w:tcPr>
            <w:tcW w:w="4711" w:type="dxa"/>
          </w:tcPr>
          <w:p w14:paraId="615FE4D2"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53.</w:t>
            </w:r>
            <w:r w:rsidRPr="00837D4A">
              <w:rPr>
                <w:rFonts w:ascii="Verdana" w:hAnsi="Verdana"/>
                <w:sz w:val="16"/>
                <w:szCs w:val="16"/>
              </w:rPr>
              <w:t xml:space="preserve"> Durante el proceso de licitación, la Secretaría debe solicitar a Petróleos Mexicanos la opinión a que se refiere el artículo 55, párrafo quinto de la Ley. Petróleos Mexicanos cuenta con un plazo de diez días hábiles para emitir la opinión referida a partir de que reciba la solicitud.</w:t>
            </w:r>
          </w:p>
        </w:tc>
        <w:tc>
          <w:tcPr>
            <w:tcW w:w="4649" w:type="dxa"/>
          </w:tcPr>
          <w:p w14:paraId="232BA65D" w14:textId="68749C57"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53. </w:t>
            </w:r>
            <w:r w:rsidRPr="00837D4A">
              <w:rPr>
                <w:rFonts w:ascii="Verdana" w:hAnsi="Verdana"/>
                <w:sz w:val="16"/>
                <w:szCs w:val="16"/>
                <w:lang w:val="en-US"/>
              </w:rPr>
              <w:t>During the bidding process, the Secretary must request from Petróleos Mexicanos the opinion referred to in Article 55, paragraph five of the Law. Petróleos Mexicanos has a period of ten business days to issue the aforementioned opinion from the date of receipt of the request.</w:t>
            </w:r>
          </w:p>
        </w:tc>
      </w:tr>
      <w:tr w:rsidR="009849AC" w:rsidRPr="00C52435" w14:paraId="3D862558" w14:textId="5C99FA7A" w:rsidTr="00F867DE">
        <w:tc>
          <w:tcPr>
            <w:tcW w:w="4711" w:type="dxa"/>
          </w:tcPr>
          <w:p w14:paraId="6D7F08EC"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54.</w:t>
            </w:r>
            <w:r w:rsidRPr="00837D4A">
              <w:rPr>
                <w:rFonts w:ascii="Verdana" w:hAnsi="Verdana"/>
                <w:sz w:val="16"/>
                <w:szCs w:val="16"/>
              </w:rPr>
              <w:t xml:space="preserve"> Durante los procedimientos de licitación, la Secretaría puede solicitar el apoyo de la Secretaría de Hacienda y Crédito Público, en el ámbito de sus atribuciones, cuando existan aclaraciones a las bases de los procedimientos de licitación y adjudicación de Contratos para la Exploración y Extracción y, en su caso, requerir las modificaciones correspondientes.</w:t>
            </w:r>
          </w:p>
        </w:tc>
        <w:tc>
          <w:tcPr>
            <w:tcW w:w="4649" w:type="dxa"/>
          </w:tcPr>
          <w:p w14:paraId="1A2AF91B" w14:textId="503DAC42"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54. </w:t>
            </w:r>
            <w:r w:rsidRPr="00837D4A">
              <w:rPr>
                <w:rFonts w:ascii="Verdana" w:hAnsi="Verdana"/>
                <w:sz w:val="16"/>
                <w:szCs w:val="16"/>
                <w:lang w:val="en-US"/>
              </w:rPr>
              <w:t>During bidding procedures, the Secretary may request the support of the Secretary of Finance and Public Credit, within the scope of their powers, when there are clarifications to the criteria of the bidding procedures and awarding of Exploration and Extraction Contracts and, where appropriate, request the corresponding modifications.</w:t>
            </w:r>
          </w:p>
        </w:tc>
      </w:tr>
      <w:tr w:rsidR="009849AC" w:rsidRPr="00C52435" w14:paraId="424DB7DF" w14:textId="7DA35207" w:rsidTr="00F867DE">
        <w:tc>
          <w:tcPr>
            <w:tcW w:w="4711" w:type="dxa"/>
          </w:tcPr>
          <w:p w14:paraId="5E53721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55.</w:t>
            </w:r>
            <w:r w:rsidRPr="00837D4A">
              <w:rPr>
                <w:rFonts w:ascii="Verdana" w:hAnsi="Verdana"/>
                <w:sz w:val="16"/>
                <w:szCs w:val="16"/>
              </w:rPr>
              <w:t xml:space="preserve"> Para verificar la autenticidad y veracidad de la información proporcionada por las personas interesadas o licitantes, la Secretaría puede establecer mecanismos de coordinación interinstitucional de carácter nacional o internacional.</w:t>
            </w:r>
          </w:p>
        </w:tc>
        <w:tc>
          <w:tcPr>
            <w:tcW w:w="4649" w:type="dxa"/>
          </w:tcPr>
          <w:p w14:paraId="7D8ED2D8" w14:textId="3490422C"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55. </w:t>
            </w:r>
            <w:r w:rsidRPr="00837D4A">
              <w:rPr>
                <w:rFonts w:ascii="Verdana" w:hAnsi="Verdana"/>
                <w:sz w:val="16"/>
                <w:szCs w:val="16"/>
                <w:lang w:val="en-US"/>
              </w:rPr>
              <w:t>To verify the authenticity and veracity of the information provided by interested parties or bidders, the Secretary may establish national or international inter-institutional coordination mechanisms.</w:t>
            </w:r>
          </w:p>
        </w:tc>
      </w:tr>
      <w:tr w:rsidR="009849AC" w:rsidRPr="00C52435" w14:paraId="53C9021F" w14:textId="6B3BB5DB" w:rsidTr="00F867DE">
        <w:tc>
          <w:tcPr>
            <w:tcW w:w="4711" w:type="dxa"/>
          </w:tcPr>
          <w:p w14:paraId="3A93D116"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 xml:space="preserve">Artículo 56. </w:t>
            </w:r>
            <w:r w:rsidRPr="00837D4A">
              <w:rPr>
                <w:rFonts w:ascii="Verdana" w:hAnsi="Verdana"/>
                <w:sz w:val="16"/>
                <w:szCs w:val="16"/>
              </w:rPr>
              <w:t>La Secretaría debe emitir la Normatividad para habilitar los medios electrónicos a que se refiere el artículo 50, párrafo quinto de la Ley.</w:t>
            </w:r>
          </w:p>
        </w:tc>
        <w:tc>
          <w:tcPr>
            <w:tcW w:w="4649" w:type="dxa"/>
          </w:tcPr>
          <w:p w14:paraId="6CBC8978" w14:textId="54818378"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56. </w:t>
            </w:r>
            <w:r w:rsidRPr="00837D4A">
              <w:rPr>
                <w:rFonts w:ascii="Verdana" w:hAnsi="Verdana"/>
                <w:sz w:val="16"/>
                <w:szCs w:val="16"/>
                <w:lang w:val="en-US"/>
              </w:rPr>
              <w:t>The Secretary must issue the Regulation to enable the electronic media referred to in Article 50, fifth paragraph of the Law.</w:t>
            </w:r>
          </w:p>
        </w:tc>
      </w:tr>
      <w:tr w:rsidR="009849AC" w:rsidRPr="00C52435" w14:paraId="3830597F" w14:textId="17F2A4A0" w:rsidTr="00F867DE">
        <w:tc>
          <w:tcPr>
            <w:tcW w:w="4711" w:type="dxa"/>
          </w:tcPr>
          <w:p w14:paraId="616343E4"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57.</w:t>
            </w:r>
            <w:r w:rsidRPr="00837D4A">
              <w:rPr>
                <w:rFonts w:ascii="Verdana" w:hAnsi="Verdana"/>
                <w:sz w:val="16"/>
                <w:szCs w:val="16"/>
              </w:rPr>
              <w:t xml:space="preserve"> La Secretaría y la Secretaría de Hacienda y Crédito Público deben adoptar los mecanismos y procedimientos de seguridad necesarios para el resguardo de la información relacionada con los Términos y Condiciones Técnicos, las condiciones económicas relativas a los términos fiscales y los Lineamientos Técnicos que deben observarse en los procesos de licitación. Las personas servidoras públicas que tengan acceso a la información a que se refiere este artículo deben ser autorizadas conforme a los </w:t>
            </w:r>
            <w:r w:rsidRPr="00837D4A">
              <w:rPr>
                <w:rFonts w:ascii="Verdana" w:hAnsi="Verdana"/>
                <w:sz w:val="16"/>
                <w:szCs w:val="16"/>
              </w:rPr>
              <w:lastRenderedPageBreak/>
              <w:t>mecanismos y controles que establezcan dichas dependencias.</w:t>
            </w:r>
          </w:p>
        </w:tc>
        <w:tc>
          <w:tcPr>
            <w:tcW w:w="4649" w:type="dxa"/>
          </w:tcPr>
          <w:p w14:paraId="52A2547B" w14:textId="4F7908F7"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57. </w:t>
            </w:r>
            <w:r w:rsidRPr="00837D4A">
              <w:rPr>
                <w:rFonts w:ascii="Verdana" w:hAnsi="Verdana"/>
                <w:sz w:val="16"/>
                <w:szCs w:val="16"/>
                <w:lang w:val="en-US"/>
              </w:rPr>
              <w:t>The Secretary and the Secretary of Finance and Public Credit must adopt the necessary security mechanisms and procedures to safeguard information related to the Technical Terms and Conditions, the economic conditions related to fiscal terms, and the Technical Guidelines that must be observed in bidding processes. Public servants who have access to the information referred to in this article must be authorized in accordance with the mechanisms and controls established by these agencies.</w:t>
            </w:r>
          </w:p>
        </w:tc>
      </w:tr>
      <w:tr w:rsidR="009849AC" w:rsidRPr="00D0180E" w14:paraId="6514C64E" w14:textId="388FE207" w:rsidTr="00F867DE">
        <w:tc>
          <w:tcPr>
            <w:tcW w:w="4711" w:type="dxa"/>
          </w:tcPr>
          <w:p w14:paraId="31E6248B" w14:textId="77777777" w:rsidR="009849AC" w:rsidRPr="00837D4A" w:rsidRDefault="009849AC" w:rsidP="009849AC">
            <w:pPr>
              <w:pStyle w:val="Texto"/>
              <w:spacing w:line="222" w:lineRule="exact"/>
              <w:ind w:firstLine="0"/>
              <w:jc w:val="center"/>
              <w:rPr>
                <w:rFonts w:ascii="Verdana" w:hAnsi="Verdana"/>
                <w:b/>
                <w:sz w:val="16"/>
                <w:szCs w:val="16"/>
              </w:rPr>
            </w:pPr>
            <w:r w:rsidRPr="00837D4A">
              <w:rPr>
                <w:rFonts w:ascii="Verdana" w:hAnsi="Verdana"/>
                <w:b/>
                <w:sz w:val="16"/>
                <w:szCs w:val="16"/>
              </w:rPr>
              <w:t>Sección Tercera</w:t>
            </w:r>
          </w:p>
        </w:tc>
        <w:tc>
          <w:tcPr>
            <w:tcW w:w="4649" w:type="dxa"/>
          </w:tcPr>
          <w:p w14:paraId="02DEFD3D" w14:textId="03ECB09B" w:rsidR="009849AC" w:rsidRPr="00837D4A" w:rsidRDefault="009849AC" w:rsidP="009849AC">
            <w:pPr>
              <w:pStyle w:val="Texto"/>
              <w:spacing w:line="222" w:lineRule="exact"/>
              <w:ind w:firstLine="0"/>
              <w:jc w:val="center"/>
              <w:rPr>
                <w:rFonts w:ascii="Verdana" w:hAnsi="Verdana"/>
                <w:b/>
                <w:sz w:val="16"/>
                <w:szCs w:val="16"/>
                <w:lang w:val="en-US"/>
              </w:rPr>
            </w:pPr>
            <w:proofErr w:type="spellStart"/>
            <w:r w:rsidRPr="00837D4A">
              <w:rPr>
                <w:rFonts w:ascii="Verdana" w:hAnsi="Verdana"/>
                <w:b/>
                <w:sz w:val="16"/>
                <w:szCs w:val="16"/>
              </w:rPr>
              <w:t>Third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C52435" w14:paraId="07588C9B" w14:textId="3FA5C6B5" w:rsidTr="00F867DE">
        <w:tc>
          <w:tcPr>
            <w:tcW w:w="4711" w:type="dxa"/>
          </w:tcPr>
          <w:p w14:paraId="6908880F" w14:textId="77777777" w:rsidR="009849AC" w:rsidRPr="00837D4A" w:rsidRDefault="009849AC" w:rsidP="009849AC">
            <w:pPr>
              <w:pStyle w:val="Texto"/>
              <w:spacing w:line="222" w:lineRule="exact"/>
              <w:ind w:firstLine="0"/>
              <w:jc w:val="center"/>
              <w:rPr>
                <w:rFonts w:ascii="Verdana" w:hAnsi="Verdana"/>
                <w:b/>
                <w:sz w:val="16"/>
                <w:szCs w:val="16"/>
              </w:rPr>
            </w:pPr>
            <w:r w:rsidRPr="00837D4A">
              <w:rPr>
                <w:rFonts w:ascii="Verdana" w:hAnsi="Verdana"/>
                <w:b/>
                <w:sz w:val="16"/>
                <w:szCs w:val="16"/>
              </w:rPr>
              <w:t>De la Rescisión Administrativa de los Contratos para la Exploración y Extracción</w:t>
            </w:r>
          </w:p>
        </w:tc>
        <w:tc>
          <w:tcPr>
            <w:tcW w:w="4649" w:type="dxa"/>
          </w:tcPr>
          <w:p w14:paraId="55C4D46A" w14:textId="1E038E50" w:rsidR="009849AC" w:rsidRPr="00837D4A" w:rsidRDefault="009849AC" w:rsidP="009849AC">
            <w:pPr>
              <w:pStyle w:val="Texto"/>
              <w:spacing w:line="222" w:lineRule="exact"/>
              <w:ind w:firstLine="0"/>
              <w:jc w:val="center"/>
              <w:rPr>
                <w:rFonts w:ascii="Verdana" w:hAnsi="Verdana"/>
                <w:b/>
                <w:sz w:val="16"/>
                <w:szCs w:val="16"/>
                <w:lang w:val="en-US"/>
              </w:rPr>
            </w:pPr>
            <w:r w:rsidRPr="00837D4A">
              <w:rPr>
                <w:rFonts w:ascii="Verdana" w:hAnsi="Verdana"/>
                <w:b/>
                <w:sz w:val="16"/>
                <w:szCs w:val="16"/>
                <w:lang w:val="en-US"/>
              </w:rPr>
              <w:t>Administrative Termination of Contracts for Exploration and Extraction</w:t>
            </w:r>
          </w:p>
        </w:tc>
      </w:tr>
      <w:tr w:rsidR="009849AC" w:rsidRPr="00C52435" w14:paraId="65842777" w14:textId="7B15BBFF" w:rsidTr="00F867DE">
        <w:tc>
          <w:tcPr>
            <w:tcW w:w="4711" w:type="dxa"/>
          </w:tcPr>
          <w:p w14:paraId="6B16D206"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58.</w:t>
            </w:r>
            <w:r w:rsidRPr="00837D4A">
              <w:rPr>
                <w:rFonts w:ascii="Verdana" w:hAnsi="Verdana"/>
                <w:sz w:val="16"/>
                <w:szCs w:val="16"/>
              </w:rPr>
              <w:t xml:space="preserve"> La declaración de rescisión administrativa a la que se refiere el artículo 46 de la Ley debe ser emitida por la Secretaría, siempre y cuando no se haya solventado la causal de rescisión administrativa conforme al párrafo tercero de dicho artículo.</w:t>
            </w:r>
          </w:p>
        </w:tc>
        <w:tc>
          <w:tcPr>
            <w:tcW w:w="4649" w:type="dxa"/>
          </w:tcPr>
          <w:p w14:paraId="0BDA2F82" w14:textId="02DD8F26"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58. </w:t>
            </w:r>
            <w:r w:rsidRPr="00837D4A">
              <w:rPr>
                <w:rFonts w:ascii="Verdana" w:hAnsi="Verdana"/>
                <w:sz w:val="16"/>
                <w:szCs w:val="16"/>
                <w:lang w:val="en-US"/>
              </w:rPr>
              <w:t>The declaration of administrative termination referred to in Article 46 of the Law must be issued by the Secretary, provided that the cause for administrative termination has not been resolved in accordance with the third paragraph of said article.</w:t>
            </w:r>
          </w:p>
        </w:tc>
      </w:tr>
      <w:tr w:rsidR="009849AC" w:rsidRPr="00C52435" w14:paraId="62B9AAD4" w14:textId="4C5D4A18" w:rsidTr="00F867DE">
        <w:tc>
          <w:tcPr>
            <w:tcW w:w="4711" w:type="dxa"/>
          </w:tcPr>
          <w:p w14:paraId="19EAE0AA"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 xml:space="preserve">Artículo 59. </w:t>
            </w:r>
            <w:r w:rsidRPr="00837D4A">
              <w:rPr>
                <w:rFonts w:ascii="Verdana" w:hAnsi="Verdana"/>
                <w:sz w:val="16"/>
                <w:szCs w:val="16"/>
              </w:rPr>
              <w:t>La Secretaría debe notificar a la persona Contratista la causal que originó el inicio del procedimiento de rescisión administrativa. Una vez notificada la causal, el procedimiento debe continuar de acuerdo con lo previsto en el artículo 46 de la Ley y lo establecido en el Contrato para la Exploración y Extracción.</w:t>
            </w:r>
          </w:p>
        </w:tc>
        <w:tc>
          <w:tcPr>
            <w:tcW w:w="4649" w:type="dxa"/>
          </w:tcPr>
          <w:p w14:paraId="31F05994" w14:textId="306EFDC4"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59. </w:t>
            </w:r>
            <w:r w:rsidRPr="00837D4A">
              <w:rPr>
                <w:rFonts w:ascii="Verdana" w:hAnsi="Verdana"/>
                <w:sz w:val="16"/>
                <w:szCs w:val="16"/>
                <w:lang w:val="en-US"/>
              </w:rPr>
              <w:t>The Secretary must notify the Contractor of the reason for initiating the administrative termination procedure. Once the reason has been notified, the procedure must continue in accordance with the provisions of Article 46 of the Law and the Exploration and Extraction Contract.</w:t>
            </w:r>
          </w:p>
        </w:tc>
      </w:tr>
      <w:tr w:rsidR="009849AC" w:rsidRPr="00C52435" w14:paraId="09331FCC" w14:textId="6CA95AF4" w:rsidTr="00F867DE">
        <w:tc>
          <w:tcPr>
            <w:tcW w:w="4711" w:type="dxa"/>
          </w:tcPr>
          <w:p w14:paraId="07DB7564"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La Secretaría debe notificar a la Secretaría de Hacienda y Crédito Público y al Fondo Mexicano del Petróleo sobre la declaración de rescisión administrativa de un Contrato para la Exploración y Extracción, dentro de los cinco días hábiles siguientes a que esta se haya emitido. De igual forma se debe notificar a la Secretaría de Economía para que esta solicite lo correspondiente a los procedimientos de inicio de verificación del porcentaje mínimo de contenido nacional establecido en el Contrato para la Exploración y Extracción.</w:t>
            </w:r>
          </w:p>
        </w:tc>
        <w:tc>
          <w:tcPr>
            <w:tcW w:w="4649" w:type="dxa"/>
          </w:tcPr>
          <w:p w14:paraId="38133AD4" w14:textId="246C0731"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The Secretary must notify the Secretary of Finance and Public Credit and the Mexican Petroleum Fund of the declaration of administrative termination of an Exploration and Extraction Contract within five business days of its issuance. The Secretary of Economy must also be notified so that it may request the corresponding procedures to initiate verification of the minimum percentage of national content established in the Exploration and Extraction Contract.</w:t>
            </w:r>
          </w:p>
        </w:tc>
      </w:tr>
      <w:tr w:rsidR="009849AC" w:rsidRPr="00C52435" w14:paraId="01500F71" w14:textId="54C497FA" w:rsidTr="00F867DE">
        <w:tc>
          <w:tcPr>
            <w:tcW w:w="4711" w:type="dxa"/>
          </w:tcPr>
          <w:p w14:paraId="09579DDE"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Cuando la Secretaría determine que en el Área Contractual existen Pozos Inviables con posibilidad de desarrollar otras actividades, debe emitir un dictamen de inviabilidad e incluirlo en los términos de la rescisión administrativa, y solicitar a la persona Contratista la presentación de la modificación del plan de abandono en su caso.</w:t>
            </w:r>
          </w:p>
        </w:tc>
        <w:tc>
          <w:tcPr>
            <w:tcW w:w="4649" w:type="dxa"/>
          </w:tcPr>
          <w:p w14:paraId="15073E2B" w14:textId="7996DD6D"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When the Secretary determines that there are unviable wells in the Contract Area with the possibility of developing other activities, it must issue a non-viability opinion and include it in the terms of the administrative termination and request the Contractor to submit a modification to the abandonment plan, if applicable.</w:t>
            </w:r>
          </w:p>
        </w:tc>
      </w:tr>
      <w:tr w:rsidR="009849AC" w:rsidRPr="00C52435" w14:paraId="2BE3101E" w14:textId="51E8C41F" w:rsidTr="00F867DE">
        <w:tc>
          <w:tcPr>
            <w:tcW w:w="4711" w:type="dxa"/>
          </w:tcPr>
          <w:p w14:paraId="776D0198"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Lo dispuesto en el párrafo anterior también resulta aplicable para el supuesto de renuncia o devolución del Área Contractual.</w:t>
            </w:r>
          </w:p>
        </w:tc>
        <w:tc>
          <w:tcPr>
            <w:tcW w:w="4649" w:type="dxa"/>
          </w:tcPr>
          <w:p w14:paraId="69B8C48F" w14:textId="7B60B8DD"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The provisions of the preceding paragraph also apply in the event of renunciation or return of the Contractual Area.</w:t>
            </w:r>
          </w:p>
        </w:tc>
      </w:tr>
      <w:tr w:rsidR="009849AC" w:rsidRPr="00C52435" w14:paraId="0AD47563" w14:textId="70597FFB" w:rsidTr="00F867DE">
        <w:tc>
          <w:tcPr>
            <w:tcW w:w="4711" w:type="dxa"/>
          </w:tcPr>
          <w:p w14:paraId="40EE237E"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60.</w:t>
            </w:r>
            <w:r w:rsidRPr="00837D4A">
              <w:rPr>
                <w:rFonts w:ascii="Verdana" w:hAnsi="Verdana"/>
                <w:sz w:val="16"/>
                <w:szCs w:val="16"/>
              </w:rPr>
              <w:t xml:space="preserve"> El procedimiento de rescisión administrativa debe llevarse a cabo sin menoscabo de las sanciones legales y administrativas a que haya lugar; del resarcimiento de los daños y perjuicios derivados del incumplimiento, así como de la entrega ordenada, segura y eficiente del Área Contractual conforme a la Normatividad aplicable.</w:t>
            </w:r>
          </w:p>
        </w:tc>
        <w:tc>
          <w:tcPr>
            <w:tcW w:w="4649" w:type="dxa"/>
          </w:tcPr>
          <w:p w14:paraId="348FBED0" w14:textId="213D9E1F"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60. </w:t>
            </w:r>
            <w:r w:rsidRPr="00837D4A">
              <w:rPr>
                <w:rFonts w:ascii="Verdana" w:hAnsi="Verdana"/>
                <w:sz w:val="16"/>
                <w:szCs w:val="16"/>
                <w:lang w:val="en-US"/>
              </w:rPr>
              <w:t>The administrative termination procedure must be carried out without prejudice to any applicable legal and administrative sanctions, compensation for damages arising from noncompliance, and the orderly, safe, and efficient delivery of the Contractual Area in accordance with applicable legislation.</w:t>
            </w:r>
          </w:p>
        </w:tc>
      </w:tr>
      <w:tr w:rsidR="009849AC" w:rsidRPr="00C52435" w14:paraId="3390C119" w14:textId="09980A82" w:rsidTr="00F867DE">
        <w:tc>
          <w:tcPr>
            <w:tcW w:w="4711" w:type="dxa"/>
          </w:tcPr>
          <w:p w14:paraId="13A81DED"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61.</w:t>
            </w:r>
            <w:r w:rsidRPr="00837D4A">
              <w:rPr>
                <w:rFonts w:ascii="Verdana" w:hAnsi="Verdana"/>
                <w:sz w:val="16"/>
                <w:szCs w:val="16"/>
              </w:rPr>
              <w:t xml:space="preserve"> Para efectos del artículo 45, fracción I de la Ley, se consideran causas justificadas para no iniciar o suspender las actividades previstas en el plan de Exploración o de desarrollo para la Extracción o programas en el Área Contractual, los casos fortuitos o de fuerza mayor y los demás establecidos en el Contrato para la Exploración y Extracción.</w:t>
            </w:r>
          </w:p>
        </w:tc>
        <w:tc>
          <w:tcPr>
            <w:tcW w:w="4649" w:type="dxa"/>
          </w:tcPr>
          <w:p w14:paraId="28D7C1A5" w14:textId="2460FD43"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61. </w:t>
            </w:r>
            <w:r w:rsidRPr="00837D4A">
              <w:rPr>
                <w:rFonts w:ascii="Verdana" w:hAnsi="Verdana"/>
                <w:sz w:val="16"/>
                <w:szCs w:val="16"/>
                <w:lang w:val="en-US"/>
              </w:rPr>
              <w:t>For the purposes of Article 45, Section I of the Law, the following are considered justified causes for not starting or suspending the activities provided for in the Exploration or development plan for Extraction or programs in the Contractual Area: unforeseen events or force majeure and others established in the Contract for Exploration and Extraction.</w:t>
            </w:r>
          </w:p>
        </w:tc>
      </w:tr>
      <w:tr w:rsidR="009849AC" w:rsidRPr="00D0180E" w14:paraId="41422C87" w14:textId="782C950E" w:rsidTr="00F867DE">
        <w:tc>
          <w:tcPr>
            <w:tcW w:w="4711" w:type="dxa"/>
          </w:tcPr>
          <w:p w14:paraId="534CB82B" w14:textId="77777777" w:rsidR="009849AC" w:rsidRPr="00837D4A" w:rsidRDefault="009849AC" w:rsidP="009849AC">
            <w:pPr>
              <w:pStyle w:val="Texto"/>
              <w:spacing w:line="222" w:lineRule="exact"/>
              <w:ind w:firstLine="0"/>
              <w:jc w:val="center"/>
              <w:rPr>
                <w:rFonts w:ascii="Verdana" w:hAnsi="Verdana"/>
                <w:b/>
                <w:sz w:val="16"/>
                <w:szCs w:val="16"/>
              </w:rPr>
            </w:pPr>
            <w:r w:rsidRPr="00837D4A">
              <w:rPr>
                <w:rFonts w:ascii="Verdana" w:hAnsi="Verdana"/>
                <w:b/>
                <w:sz w:val="16"/>
                <w:szCs w:val="16"/>
              </w:rPr>
              <w:t>Sección Cuarta</w:t>
            </w:r>
          </w:p>
        </w:tc>
        <w:tc>
          <w:tcPr>
            <w:tcW w:w="4649" w:type="dxa"/>
          </w:tcPr>
          <w:p w14:paraId="615F2A2D" w14:textId="37E0BFC4" w:rsidR="009849AC" w:rsidRPr="00837D4A" w:rsidRDefault="009849AC" w:rsidP="009849AC">
            <w:pPr>
              <w:pStyle w:val="Texto"/>
              <w:spacing w:line="222" w:lineRule="exact"/>
              <w:ind w:firstLine="0"/>
              <w:jc w:val="center"/>
              <w:rPr>
                <w:rFonts w:ascii="Verdana" w:hAnsi="Verdana"/>
                <w:b/>
                <w:sz w:val="16"/>
                <w:szCs w:val="16"/>
                <w:lang w:val="en-US"/>
              </w:rPr>
            </w:pPr>
            <w:proofErr w:type="spellStart"/>
            <w:r w:rsidRPr="00837D4A">
              <w:rPr>
                <w:rFonts w:ascii="Verdana" w:hAnsi="Verdana"/>
                <w:b/>
                <w:sz w:val="16"/>
                <w:szCs w:val="16"/>
              </w:rPr>
              <w:t>Fourth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C52435" w14:paraId="49428F4B" w14:textId="1AE1F65D" w:rsidTr="00F867DE">
        <w:tc>
          <w:tcPr>
            <w:tcW w:w="4711" w:type="dxa"/>
          </w:tcPr>
          <w:p w14:paraId="22B307E5" w14:textId="77777777" w:rsidR="009849AC" w:rsidRPr="00837D4A" w:rsidRDefault="009849AC" w:rsidP="009849AC">
            <w:pPr>
              <w:pStyle w:val="Texto"/>
              <w:spacing w:line="222" w:lineRule="exact"/>
              <w:ind w:firstLine="0"/>
              <w:jc w:val="center"/>
              <w:rPr>
                <w:rFonts w:ascii="Verdana" w:hAnsi="Verdana"/>
                <w:b/>
                <w:sz w:val="16"/>
                <w:szCs w:val="16"/>
              </w:rPr>
            </w:pPr>
            <w:r w:rsidRPr="00837D4A">
              <w:rPr>
                <w:rFonts w:ascii="Verdana" w:hAnsi="Verdana"/>
                <w:b/>
                <w:sz w:val="16"/>
                <w:szCs w:val="16"/>
              </w:rPr>
              <w:lastRenderedPageBreak/>
              <w:t>De la Comercialización de los Hidrocarburos que el Estado obtenga como  resultado de los Contratos para la Exploración y Extracción</w:t>
            </w:r>
          </w:p>
        </w:tc>
        <w:tc>
          <w:tcPr>
            <w:tcW w:w="4649" w:type="dxa"/>
          </w:tcPr>
          <w:p w14:paraId="69B5047B" w14:textId="500DD897" w:rsidR="009849AC" w:rsidRPr="00837D4A" w:rsidRDefault="009849AC" w:rsidP="009849AC">
            <w:pPr>
              <w:pStyle w:val="Texto"/>
              <w:spacing w:line="222" w:lineRule="exact"/>
              <w:ind w:firstLine="0"/>
              <w:jc w:val="center"/>
              <w:rPr>
                <w:rFonts w:ascii="Verdana" w:hAnsi="Verdana"/>
                <w:b/>
                <w:sz w:val="16"/>
                <w:szCs w:val="16"/>
                <w:lang w:val="en-US"/>
              </w:rPr>
            </w:pPr>
            <w:r w:rsidRPr="00837D4A">
              <w:rPr>
                <w:rFonts w:ascii="Verdana" w:hAnsi="Verdana"/>
                <w:b/>
                <w:sz w:val="16"/>
                <w:szCs w:val="16"/>
                <w:lang w:val="en-US"/>
              </w:rPr>
              <w:t>Marketing of Hydrocarbons that the State obtains as a result of the Contracts for Exploration and Extraction</w:t>
            </w:r>
          </w:p>
        </w:tc>
      </w:tr>
      <w:tr w:rsidR="009849AC" w:rsidRPr="00C52435" w14:paraId="5F5D87AE" w14:textId="6079D373" w:rsidTr="00F867DE">
        <w:tc>
          <w:tcPr>
            <w:tcW w:w="4711" w:type="dxa"/>
          </w:tcPr>
          <w:p w14:paraId="19800571"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62.</w:t>
            </w:r>
            <w:r w:rsidRPr="00837D4A">
              <w:rPr>
                <w:rFonts w:ascii="Verdana" w:hAnsi="Verdana"/>
                <w:sz w:val="16"/>
                <w:szCs w:val="16"/>
              </w:rPr>
              <w:t xml:space="preserve"> La contratación de la Comercialización a que se refiere el artículo 57 de la Ley se debe desarrollar por la Secretaría conforme a la Ley de Adquisiciones, Arrendamientos y Servicios del Sector Público y su reglamento.</w:t>
            </w:r>
          </w:p>
        </w:tc>
        <w:tc>
          <w:tcPr>
            <w:tcW w:w="4649" w:type="dxa"/>
          </w:tcPr>
          <w:p w14:paraId="3CB1CAC7" w14:textId="44FB5893"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62. </w:t>
            </w:r>
            <w:r w:rsidRPr="00837D4A">
              <w:rPr>
                <w:rFonts w:ascii="Verdana" w:hAnsi="Verdana"/>
                <w:sz w:val="16"/>
                <w:szCs w:val="16"/>
                <w:lang w:val="en-US"/>
              </w:rPr>
              <w:t>The contracting of Marketing referred to in Article 57 of the Law must be developed by the Secretary in accordance with the Law on Acquisitions, Leases and Services of the Public Sector and its Regulation.</w:t>
            </w:r>
          </w:p>
        </w:tc>
      </w:tr>
      <w:tr w:rsidR="009849AC" w:rsidRPr="00C52435" w14:paraId="69353175" w14:textId="0BBD12A2" w:rsidTr="00F867DE">
        <w:tc>
          <w:tcPr>
            <w:tcW w:w="4711" w:type="dxa"/>
          </w:tcPr>
          <w:p w14:paraId="222B10EE"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63.</w:t>
            </w:r>
            <w:r w:rsidRPr="00837D4A">
              <w:rPr>
                <w:rFonts w:ascii="Verdana" w:hAnsi="Verdana"/>
                <w:sz w:val="16"/>
                <w:szCs w:val="16"/>
              </w:rPr>
              <w:t xml:space="preserve"> Una vez recibida la petición del Fondo Mexicano del Petróleo a que se refiere el artículo 57 de la Ley, la Secretaría debe determinar los términos, condiciones y los alcances de los servicios de Comercialización, y coordinarse con la Secretaría de Hacienda y Crédito Público para la determinación del margen o precio aceptable por el pago de dichos servicios a Petróleos Mexicanos o empresas filiales, que se deben observar en el proceso de contratación que desarrolle la Secretaría.</w:t>
            </w:r>
          </w:p>
        </w:tc>
        <w:tc>
          <w:tcPr>
            <w:tcW w:w="4649" w:type="dxa"/>
          </w:tcPr>
          <w:p w14:paraId="6F807843" w14:textId="3AC87C23"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63. </w:t>
            </w:r>
            <w:r w:rsidRPr="00837D4A">
              <w:rPr>
                <w:rFonts w:ascii="Verdana" w:hAnsi="Verdana"/>
                <w:sz w:val="16"/>
                <w:szCs w:val="16"/>
                <w:lang w:val="en-US"/>
              </w:rPr>
              <w:t>Once the request from the Mexican Petroleum Fund referred to in Article 57 of the Law has been received, the Secretary must determine the terms, conditions and scope of the Marketing services, and coordinate with the Secretary of Finance and Public Credit to determine the acceptable margin or price for the payment of said services to Petróleos Mexicanos or subsidiary companies, which must be observed in the contracting process developed by the Secretary.</w:t>
            </w:r>
          </w:p>
        </w:tc>
      </w:tr>
      <w:tr w:rsidR="009849AC" w:rsidRPr="00C52435" w14:paraId="687D3F2C" w14:textId="2E929103" w:rsidTr="00F867DE">
        <w:tc>
          <w:tcPr>
            <w:tcW w:w="4711" w:type="dxa"/>
          </w:tcPr>
          <w:p w14:paraId="38B73BC8"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64.</w:t>
            </w:r>
            <w:r w:rsidRPr="00837D4A">
              <w:rPr>
                <w:rFonts w:ascii="Verdana" w:hAnsi="Verdana"/>
                <w:sz w:val="16"/>
                <w:szCs w:val="16"/>
              </w:rPr>
              <w:t xml:space="preserve"> La Secretaría y la Secretaría de Hacienda y Crédito Público se deben coordinar para que, en ejercicio de las facultades referidas en el artículo anterior y durante la ejecución del contrato respectivo, los servicios de Comercialización atiendan siempre a lograr las mejores condiciones para el Estado, así como maximizar sus ingresos.</w:t>
            </w:r>
          </w:p>
        </w:tc>
        <w:tc>
          <w:tcPr>
            <w:tcW w:w="4649" w:type="dxa"/>
          </w:tcPr>
          <w:p w14:paraId="47D1DE81" w14:textId="67983865"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64. </w:t>
            </w:r>
            <w:r w:rsidRPr="00837D4A">
              <w:rPr>
                <w:rFonts w:ascii="Verdana" w:hAnsi="Verdana"/>
                <w:sz w:val="16"/>
                <w:szCs w:val="16"/>
                <w:lang w:val="en-US"/>
              </w:rPr>
              <w:t>The Secretary and the Secretary of Finance and Public Credit must coordinate so that, in exercising the powers referred to in the preceding article and during the execution of the respective contract, the Marketing services always strive to achieve the best conditions for the State, as well as maximize its income.</w:t>
            </w:r>
          </w:p>
        </w:tc>
      </w:tr>
      <w:tr w:rsidR="009849AC" w:rsidRPr="00C52435" w14:paraId="57C1E9FA" w14:textId="5951E077" w:rsidTr="00F867DE">
        <w:tc>
          <w:tcPr>
            <w:tcW w:w="4711" w:type="dxa"/>
          </w:tcPr>
          <w:p w14:paraId="27ED5AD2"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65.</w:t>
            </w:r>
            <w:r w:rsidRPr="00837D4A">
              <w:rPr>
                <w:rFonts w:ascii="Verdana" w:hAnsi="Verdana"/>
                <w:sz w:val="16"/>
                <w:szCs w:val="16"/>
              </w:rPr>
              <w:t xml:space="preserve"> Una vez suscrito el contrato respectivo, la Secretaría y la Secretaría de Hacienda y Crédito Público pueden proponer modificaciones o actualizaciones que busquen maximizar los ingresos del Estado.</w:t>
            </w:r>
          </w:p>
        </w:tc>
        <w:tc>
          <w:tcPr>
            <w:tcW w:w="4649" w:type="dxa"/>
          </w:tcPr>
          <w:p w14:paraId="351D1AC2" w14:textId="361AE395"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65. </w:t>
            </w:r>
            <w:r w:rsidRPr="00837D4A">
              <w:rPr>
                <w:rFonts w:ascii="Verdana" w:hAnsi="Verdana"/>
                <w:sz w:val="16"/>
                <w:szCs w:val="16"/>
                <w:lang w:val="en-US"/>
              </w:rPr>
              <w:t>Once the respective contract has been signed, the Secretary and the Secretary of Finance and Public Credit may propose modifications or updates that seek to maximize state revenue.</w:t>
            </w:r>
          </w:p>
        </w:tc>
      </w:tr>
      <w:tr w:rsidR="009849AC" w:rsidRPr="00D0180E" w14:paraId="5DD6CBF1" w14:textId="38986309" w:rsidTr="00F867DE">
        <w:tc>
          <w:tcPr>
            <w:tcW w:w="4711" w:type="dxa"/>
          </w:tcPr>
          <w:p w14:paraId="453A04CB" w14:textId="77777777" w:rsidR="009849AC" w:rsidRPr="00837D4A" w:rsidRDefault="009849AC" w:rsidP="009849AC">
            <w:pPr>
              <w:pStyle w:val="Texto"/>
              <w:spacing w:after="90"/>
              <w:ind w:firstLine="0"/>
              <w:jc w:val="center"/>
              <w:rPr>
                <w:rFonts w:ascii="Verdana" w:hAnsi="Verdana"/>
                <w:b/>
                <w:sz w:val="16"/>
                <w:szCs w:val="16"/>
              </w:rPr>
            </w:pPr>
            <w:r w:rsidRPr="00837D4A">
              <w:rPr>
                <w:rFonts w:ascii="Verdana" w:hAnsi="Verdana"/>
                <w:b/>
                <w:sz w:val="16"/>
                <w:szCs w:val="16"/>
              </w:rPr>
              <w:t>Sección Quinta</w:t>
            </w:r>
          </w:p>
        </w:tc>
        <w:tc>
          <w:tcPr>
            <w:tcW w:w="4649" w:type="dxa"/>
          </w:tcPr>
          <w:p w14:paraId="491C32F3" w14:textId="78E01616" w:rsidR="009849AC" w:rsidRPr="00837D4A" w:rsidRDefault="009849AC" w:rsidP="009849AC">
            <w:pPr>
              <w:pStyle w:val="Texto"/>
              <w:spacing w:after="90"/>
              <w:ind w:firstLine="0"/>
              <w:jc w:val="center"/>
              <w:rPr>
                <w:rFonts w:ascii="Verdana" w:hAnsi="Verdana"/>
                <w:b/>
                <w:sz w:val="16"/>
                <w:szCs w:val="16"/>
                <w:lang w:val="en-US"/>
              </w:rPr>
            </w:pPr>
            <w:proofErr w:type="spellStart"/>
            <w:r w:rsidRPr="00837D4A">
              <w:rPr>
                <w:rFonts w:ascii="Verdana" w:hAnsi="Verdana"/>
                <w:b/>
                <w:sz w:val="16"/>
                <w:szCs w:val="16"/>
              </w:rPr>
              <w:t>Fifth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C52435" w14:paraId="78BD58DB" w14:textId="59DB7695" w:rsidTr="00F867DE">
        <w:tc>
          <w:tcPr>
            <w:tcW w:w="4711" w:type="dxa"/>
          </w:tcPr>
          <w:p w14:paraId="145AC17B" w14:textId="77777777" w:rsidR="009849AC" w:rsidRPr="00837D4A" w:rsidRDefault="009849AC" w:rsidP="009849AC">
            <w:pPr>
              <w:pStyle w:val="Texto"/>
              <w:spacing w:after="90"/>
              <w:ind w:firstLine="0"/>
              <w:jc w:val="center"/>
              <w:rPr>
                <w:rFonts w:ascii="Verdana" w:hAnsi="Verdana"/>
                <w:b/>
                <w:sz w:val="16"/>
                <w:szCs w:val="16"/>
              </w:rPr>
            </w:pPr>
            <w:r w:rsidRPr="00837D4A">
              <w:rPr>
                <w:rFonts w:ascii="Verdana" w:hAnsi="Verdana"/>
                <w:b/>
                <w:sz w:val="16"/>
                <w:szCs w:val="16"/>
              </w:rPr>
              <w:t>De la Adjudicación Directa de los Contratos para la Exploración y Extracción a Personas Titulares de Concesiones Mineras</w:t>
            </w:r>
          </w:p>
        </w:tc>
        <w:tc>
          <w:tcPr>
            <w:tcW w:w="4649" w:type="dxa"/>
          </w:tcPr>
          <w:p w14:paraId="536117F5" w14:textId="6B3D6F7B" w:rsidR="009849AC" w:rsidRPr="00837D4A" w:rsidRDefault="009849AC" w:rsidP="009849AC">
            <w:pPr>
              <w:pStyle w:val="Texto"/>
              <w:spacing w:after="90"/>
              <w:ind w:firstLine="0"/>
              <w:jc w:val="center"/>
              <w:rPr>
                <w:rFonts w:ascii="Verdana" w:hAnsi="Verdana"/>
                <w:b/>
                <w:sz w:val="16"/>
                <w:szCs w:val="16"/>
                <w:lang w:val="en-US"/>
              </w:rPr>
            </w:pPr>
            <w:r w:rsidRPr="00837D4A">
              <w:rPr>
                <w:rFonts w:ascii="Verdana" w:hAnsi="Verdana"/>
                <w:b/>
                <w:sz w:val="16"/>
                <w:szCs w:val="16"/>
                <w:lang w:val="en-US"/>
              </w:rPr>
              <w:t>Direct Award of Exploration and Extraction Contracts to Holders of Mining Concessions</w:t>
            </w:r>
          </w:p>
        </w:tc>
      </w:tr>
      <w:tr w:rsidR="009849AC" w:rsidRPr="00C52435" w14:paraId="06FB49A4" w14:textId="4EE0E613" w:rsidTr="00F867DE">
        <w:tc>
          <w:tcPr>
            <w:tcW w:w="4711" w:type="dxa"/>
          </w:tcPr>
          <w:p w14:paraId="1306CD36"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Artículo 66.</w:t>
            </w:r>
            <w:r w:rsidRPr="00837D4A">
              <w:rPr>
                <w:rFonts w:ascii="Verdana" w:hAnsi="Verdana"/>
                <w:sz w:val="16"/>
                <w:szCs w:val="16"/>
              </w:rPr>
              <w:t xml:space="preserve"> La persona titular de una concesión minera que está interesada en obtener la adjudicación directa de un Contrato para la Exploración y Extracción de Gas Natural asociado a su mina de carbón, para autoconsumo, en términos del artículo 56 de la Ley, debe presentar a la Secretaría una solicitud con al menos lo siguiente:</w:t>
            </w:r>
          </w:p>
        </w:tc>
        <w:tc>
          <w:tcPr>
            <w:tcW w:w="4649" w:type="dxa"/>
          </w:tcPr>
          <w:p w14:paraId="24E7391A" w14:textId="4102825C"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Article 66. </w:t>
            </w:r>
            <w:r w:rsidRPr="00837D4A">
              <w:rPr>
                <w:rFonts w:ascii="Verdana" w:hAnsi="Verdana"/>
                <w:sz w:val="16"/>
                <w:szCs w:val="16"/>
                <w:lang w:val="en-US"/>
              </w:rPr>
              <w:t>The holder of a mining concession who is interested in obtaining the direct award of a Contract for the Exploration and Extraction of Natural Gas associated with a coal mine, for self-consumption, in terms of Article 56 of the Law, must submit to the Secretary an application with at least the following:</w:t>
            </w:r>
          </w:p>
        </w:tc>
      </w:tr>
      <w:tr w:rsidR="009849AC" w:rsidRPr="00C52435" w14:paraId="78A557A0" w14:textId="558657E3" w:rsidTr="00F867DE">
        <w:tc>
          <w:tcPr>
            <w:tcW w:w="4711" w:type="dxa"/>
          </w:tcPr>
          <w:p w14:paraId="7144D4D1"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Formato autorizado debidamente requisitado con lo siguiente:</w:t>
            </w:r>
          </w:p>
        </w:tc>
        <w:tc>
          <w:tcPr>
            <w:tcW w:w="4649" w:type="dxa"/>
          </w:tcPr>
          <w:p w14:paraId="1DE67735" w14:textId="4F82BAE9"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Authorized form duly completed with the following:</w:t>
            </w:r>
          </w:p>
        </w:tc>
      </w:tr>
      <w:tr w:rsidR="009849AC" w:rsidRPr="00C52435" w14:paraId="255DAF8B" w14:textId="2D77FAA1" w:rsidTr="00F867DE">
        <w:tc>
          <w:tcPr>
            <w:tcW w:w="4711" w:type="dxa"/>
          </w:tcPr>
          <w:p w14:paraId="7A1F7F25" w14:textId="77777777" w:rsidR="009849AC" w:rsidRPr="00837D4A" w:rsidRDefault="009849AC" w:rsidP="009849AC">
            <w:pPr>
              <w:pStyle w:val="Texto"/>
              <w:spacing w:after="90"/>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Número del título de concesión minera vigente, y</w:t>
            </w:r>
          </w:p>
        </w:tc>
        <w:tc>
          <w:tcPr>
            <w:tcW w:w="4649" w:type="dxa"/>
          </w:tcPr>
          <w:p w14:paraId="6ED6CC2D" w14:textId="65494A7E"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Number of the current mining concession title, and</w:t>
            </w:r>
          </w:p>
        </w:tc>
      </w:tr>
      <w:tr w:rsidR="009849AC" w:rsidRPr="00C52435" w14:paraId="07BD53FD" w14:textId="4163C472" w:rsidTr="00F867DE">
        <w:tc>
          <w:tcPr>
            <w:tcW w:w="4711" w:type="dxa"/>
          </w:tcPr>
          <w:p w14:paraId="16244024"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Los escenarios de precios utilizados, las características geológicas del área de la concesión minera, la descripción de la infraestructura existente dentro y alrededor de la concesión minera, la remediación de suelos, y cuando sea el caso, el manejo de residuos;</w:t>
            </w:r>
          </w:p>
        </w:tc>
        <w:tc>
          <w:tcPr>
            <w:tcW w:w="4649" w:type="dxa"/>
          </w:tcPr>
          <w:p w14:paraId="2B742B0C" w14:textId="47BBB969"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The price scenarios used, the geological characteristics of the mining concession area, the description of the existing infrastructure within and around the mining concession, soil remediation, and where applicable, waste management;</w:t>
            </w:r>
          </w:p>
        </w:tc>
      </w:tr>
      <w:tr w:rsidR="009849AC" w:rsidRPr="00C52435" w14:paraId="450AAF09" w14:textId="22A438D6" w:rsidTr="00F867DE">
        <w:tc>
          <w:tcPr>
            <w:tcW w:w="4711" w:type="dxa"/>
          </w:tcPr>
          <w:p w14:paraId="054BB927"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 xml:space="preserve">Los estudios con los que se determinó la existencia de recursos de Gas Natural contenido en la veta de carbón mineral y la propuesta del plan de </w:t>
            </w:r>
            <w:r w:rsidRPr="00837D4A">
              <w:rPr>
                <w:rFonts w:ascii="Verdana" w:hAnsi="Verdana"/>
                <w:sz w:val="16"/>
                <w:szCs w:val="16"/>
              </w:rPr>
              <w:lastRenderedPageBreak/>
              <w:t>Exploración y de desarrollo para la Extracción de dichos recursos;</w:t>
            </w:r>
          </w:p>
        </w:tc>
        <w:tc>
          <w:tcPr>
            <w:tcW w:w="4649" w:type="dxa"/>
          </w:tcPr>
          <w:p w14:paraId="11253C8B" w14:textId="07C4D1BB"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lastRenderedPageBreak/>
              <w:t xml:space="preserve">II. </w:t>
            </w:r>
            <w:r w:rsidRPr="00837D4A">
              <w:rPr>
                <w:rFonts w:ascii="Verdana" w:hAnsi="Verdana"/>
                <w:b/>
                <w:sz w:val="16"/>
                <w:szCs w:val="16"/>
                <w:lang w:val="en-US"/>
              </w:rPr>
              <w:tab/>
            </w:r>
            <w:r w:rsidRPr="00837D4A">
              <w:rPr>
                <w:rFonts w:ascii="Verdana" w:hAnsi="Verdana"/>
                <w:sz w:val="16"/>
                <w:szCs w:val="16"/>
                <w:lang w:val="en-US"/>
              </w:rPr>
              <w:t xml:space="preserve">The studies that determined the existence of Natural Gas resources contained in the coal seam and </w:t>
            </w:r>
            <w:r w:rsidRPr="00837D4A">
              <w:rPr>
                <w:rFonts w:ascii="Verdana" w:hAnsi="Verdana"/>
                <w:sz w:val="16"/>
                <w:szCs w:val="16"/>
                <w:lang w:val="en-US"/>
              </w:rPr>
              <w:lastRenderedPageBreak/>
              <w:t>the proposal for the Exploration and development plan for the Extraction of said resources;</w:t>
            </w:r>
          </w:p>
        </w:tc>
      </w:tr>
      <w:tr w:rsidR="009849AC" w:rsidRPr="00C52435" w14:paraId="34F76B1F" w14:textId="5C9048F5" w:rsidTr="00F867DE">
        <w:tc>
          <w:tcPr>
            <w:tcW w:w="4711" w:type="dxa"/>
          </w:tcPr>
          <w:p w14:paraId="45E9CA01"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El informe de comprobación a que se refiere el artículo 28 de la Ley de Minería. Cuando se trate de concesiones mineras que van a realizar actividades de extracción de carbón, deben comprobar alguno de los siguientes supuestos:</w:t>
            </w:r>
          </w:p>
        </w:tc>
        <w:tc>
          <w:tcPr>
            <w:tcW w:w="4649" w:type="dxa"/>
          </w:tcPr>
          <w:p w14:paraId="264BBC24" w14:textId="24AEAB95"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verification report referred to in Article 28 of the Mining Law. In the case of mining concessions that are to carry out coal extraction activities, one of the following conditions must be verified:</w:t>
            </w:r>
          </w:p>
        </w:tc>
      </w:tr>
      <w:tr w:rsidR="009849AC" w:rsidRPr="00C52435" w14:paraId="1B1844B2" w14:textId="427D8273" w:rsidTr="00F867DE">
        <w:tc>
          <w:tcPr>
            <w:tcW w:w="4711" w:type="dxa"/>
          </w:tcPr>
          <w:p w14:paraId="12D5472D"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Haber pactado el financiamiento completo del proyecto;</w:t>
            </w:r>
          </w:p>
        </w:tc>
        <w:tc>
          <w:tcPr>
            <w:tcW w:w="4649" w:type="dxa"/>
          </w:tcPr>
          <w:p w14:paraId="640259A8" w14:textId="5BF932E4"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Having agreed to the full financing of the project;</w:t>
            </w:r>
          </w:p>
        </w:tc>
      </w:tr>
      <w:tr w:rsidR="009849AC" w:rsidRPr="00C52435" w14:paraId="3C128410" w14:textId="493660BE" w:rsidTr="00F867DE">
        <w:tc>
          <w:tcPr>
            <w:tcW w:w="4711" w:type="dxa"/>
          </w:tcPr>
          <w:p w14:paraId="0D100EC0"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Haber comprometido la adquisición de los equipos principales, o</w:t>
            </w:r>
          </w:p>
        </w:tc>
        <w:tc>
          <w:tcPr>
            <w:tcW w:w="4649" w:type="dxa"/>
          </w:tcPr>
          <w:p w14:paraId="462A2347" w14:textId="022244C6"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Having committed to the acquisition of the main equipment, or</w:t>
            </w:r>
          </w:p>
        </w:tc>
      </w:tr>
      <w:tr w:rsidR="009849AC" w:rsidRPr="00C52435" w14:paraId="036F31B5" w14:textId="599834DB" w:rsidTr="00F867DE">
        <w:tc>
          <w:tcPr>
            <w:tcW w:w="4711" w:type="dxa"/>
          </w:tcPr>
          <w:p w14:paraId="2D612903"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Haber erogado por lo menos el treinta por ciento de la inversión total requerida en el proyecto para la adquisición de activos fijos;</w:t>
            </w:r>
          </w:p>
        </w:tc>
        <w:tc>
          <w:tcPr>
            <w:tcW w:w="4649" w:type="dxa"/>
          </w:tcPr>
          <w:p w14:paraId="3F309C23" w14:textId="77B521A4"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Having disbursed at least thirty percent of the total investment required in the project for the acquisition of fixed assets;</w:t>
            </w:r>
          </w:p>
        </w:tc>
      </w:tr>
      <w:tr w:rsidR="009849AC" w:rsidRPr="00C52435" w14:paraId="3BBE3912" w14:textId="46E2B7BE" w:rsidTr="00F867DE">
        <w:tc>
          <w:tcPr>
            <w:tcW w:w="4711" w:type="dxa"/>
          </w:tcPr>
          <w:p w14:paraId="5BD2A985"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Acreditar que cuenta con solvencia económica y capacidad técnica, administrativa y financiera necesarias para llevar a cabo las actividades de Exploración y Extracción del Gas Natural producido y contenido en la veta del carbón mineral;</w:t>
            </w:r>
          </w:p>
        </w:tc>
        <w:tc>
          <w:tcPr>
            <w:tcW w:w="4649" w:type="dxa"/>
          </w:tcPr>
          <w:p w14:paraId="02AFC360" w14:textId="7AD875E1"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Prove that it has the necessary financial solvency and technical, administrative and financial capacity to carry out the activities of Exploration and Extraction of Natural Gas produced and contained in the mineral coal seam;</w:t>
            </w:r>
          </w:p>
        </w:tc>
      </w:tr>
      <w:tr w:rsidR="009849AC" w:rsidRPr="00C52435" w14:paraId="1C104DE6" w14:textId="2BE6FB10" w:rsidTr="00F867DE">
        <w:tc>
          <w:tcPr>
            <w:tcW w:w="4711" w:type="dxa"/>
          </w:tcPr>
          <w:p w14:paraId="0BA034A5"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El cumplimiento del concesionario de las obligaciones correspondientes al título de concesión minera de que se trate, e incluir las obligaciones establecidas en la Ley Federal de Derechos, así como no tener anotaciones preventivas en los libros del Registro Público de Minería por parte de autoridad jurisdiccional que limiten los derechos de la persona concesionaria, y</w:t>
            </w:r>
          </w:p>
        </w:tc>
        <w:tc>
          <w:tcPr>
            <w:tcW w:w="4649" w:type="dxa"/>
          </w:tcPr>
          <w:p w14:paraId="573A6FB4" w14:textId="62282875"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concessionaire's compliance with the obligations corresponding to the mining concession title in question, and including the obligations established in the Federal Law of Rights, as well as not having preventive annotations in the books of the Public Mining Registry by the jurisdictional authority that limit the rights of the concessionaire, and</w:t>
            </w:r>
          </w:p>
        </w:tc>
      </w:tr>
      <w:tr w:rsidR="009849AC" w:rsidRPr="00C52435" w14:paraId="01A80807" w14:textId="77DC2387" w:rsidTr="00F867DE">
        <w:tc>
          <w:tcPr>
            <w:tcW w:w="4711" w:type="dxa"/>
          </w:tcPr>
          <w:p w14:paraId="38892D9F"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 demás información o documentación que se prevea en la Normatividad que emita la Secretaría.</w:t>
            </w:r>
          </w:p>
        </w:tc>
        <w:tc>
          <w:tcPr>
            <w:tcW w:w="4649" w:type="dxa"/>
          </w:tcPr>
          <w:p w14:paraId="534BFBC3" w14:textId="2DAE68A0"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Other information or documentation provided for in the Legislation issued by the Secretary.</w:t>
            </w:r>
          </w:p>
        </w:tc>
      </w:tr>
      <w:tr w:rsidR="009849AC" w:rsidRPr="00C52435" w14:paraId="4DC149B6" w14:textId="25063C49" w:rsidTr="00F867DE">
        <w:tc>
          <w:tcPr>
            <w:tcW w:w="4711" w:type="dxa"/>
          </w:tcPr>
          <w:p w14:paraId="2648B129"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Artículo 67.</w:t>
            </w:r>
            <w:r w:rsidRPr="00837D4A">
              <w:rPr>
                <w:rFonts w:ascii="Verdana" w:hAnsi="Verdana"/>
                <w:sz w:val="16"/>
                <w:szCs w:val="16"/>
              </w:rPr>
              <w:t xml:space="preserve"> La Secretaría debe resolver la solicitud de adjudicación directa, para lo cual debe notificar a la persona concesionaria minera la resolución sobre la procedencia de su solicitud en un plazo de veinte días hábiles contados a partir de la admisión de la misma y sobre el inicio del proceso para definir el Modelo de Contratación, los Términos y Condiciones Técnicos y las condiciones económicas relativas a los términos fiscales.</w:t>
            </w:r>
          </w:p>
        </w:tc>
        <w:tc>
          <w:tcPr>
            <w:tcW w:w="4649" w:type="dxa"/>
          </w:tcPr>
          <w:p w14:paraId="7B438B31" w14:textId="10FFBAAA"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Article 67. </w:t>
            </w:r>
            <w:r w:rsidRPr="00837D4A">
              <w:rPr>
                <w:rFonts w:ascii="Verdana" w:hAnsi="Verdana"/>
                <w:sz w:val="16"/>
                <w:szCs w:val="16"/>
                <w:lang w:val="en-US"/>
              </w:rPr>
              <w:t>The Secretary must resolve the request for direct award, for which it must notify the mining concessionaire of the resolution on the admissibility of its request within a period of twenty business days from the date of admission of the same and on the start of the process to define the Contracting Model, the Technical Terms and Conditions and the economic conditions relating to the fiscal terms.</w:t>
            </w:r>
          </w:p>
        </w:tc>
      </w:tr>
      <w:tr w:rsidR="009849AC" w:rsidRPr="00C52435" w14:paraId="2512E0A0" w14:textId="693FCC5C" w:rsidTr="00F867DE">
        <w:tc>
          <w:tcPr>
            <w:tcW w:w="4711" w:type="dxa"/>
          </w:tcPr>
          <w:p w14:paraId="0B35ABF7"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Artículo 68.</w:t>
            </w:r>
            <w:r w:rsidRPr="00837D4A">
              <w:rPr>
                <w:rFonts w:ascii="Verdana" w:hAnsi="Verdana"/>
                <w:sz w:val="16"/>
                <w:szCs w:val="16"/>
              </w:rPr>
              <w:t xml:space="preserve"> En caso de ser procedente la adjudicación directa de un Contrato para la Exploración y Extracción de Gas Natural asociado a una mina de carbón a que se refiere el artículo anterior, debe observarse lo siguiente:</w:t>
            </w:r>
          </w:p>
        </w:tc>
        <w:tc>
          <w:tcPr>
            <w:tcW w:w="4649" w:type="dxa"/>
          </w:tcPr>
          <w:p w14:paraId="4F8FE579" w14:textId="1D2504D8"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Article 68. </w:t>
            </w:r>
            <w:r w:rsidRPr="00837D4A">
              <w:rPr>
                <w:rFonts w:ascii="Verdana" w:hAnsi="Verdana"/>
                <w:sz w:val="16"/>
                <w:szCs w:val="16"/>
                <w:lang w:val="en-US"/>
              </w:rPr>
              <w:t>In the event that the direct award of a Contract for the Exploration and Extraction of Natural Gas associated with a coal mine referred to in the preceding article is appropriate, the following must be observed:</w:t>
            </w:r>
          </w:p>
        </w:tc>
      </w:tr>
      <w:tr w:rsidR="009849AC" w:rsidRPr="00C52435" w14:paraId="148A5C4B" w14:textId="5E633D0E" w:rsidTr="00F867DE">
        <w:tc>
          <w:tcPr>
            <w:tcW w:w="4711" w:type="dxa"/>
          </w:tcPr>
          <w:p w14:paraId="60400EF3"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Secretaría debe remitir a la Secretaría de Hacienda y Crédito Público, en un plazo de quince días hábiles, la solicitud de adjudicación directa completa, la resolución de la procedencia de la adjudicación directa, la propuesta de Modelo de Contratación que corresponda al Área Contractual y la información soporte que se determine en los convenios de coordinación que al efecto suscriban dichas dependencias.</w:t>
            </w:r>
          </w:p>
        </w:tc>
        <w:tc>
          <w:tcPr>
            <w:tcW w:w="4649" w:type="dxa"/>
          </w:tcPr>
          <w:p w14:paraId="202A23B8" w14:textId="6E83893A"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Secretary must submit to the Secretary of Finance and Public Credit, within a period of fifteen business days, the complete request for direct award, the resolution of the origin of the direct award, the proposed Contracting Model corresponding to the Contractual Area and the supporting information determined in the coordination agreements signed for this purpose by said departments.</w:t>
            </w:r>
          </w:p>
        </w:tc>
      </w:tr>
      <w:tr w:rsidR="009849AC" w:rsidRPr="00C52435" w14:paraId="6B597341" w14:textId="0BA91753" w:rsidTr="00F867DE">
        <w:tc>
          <w:tcPr>
            <w:tcW w:w="4711" w:type="dxa"/>
          </w:tcPr>
          <w:p w14:paraId="1B035ED3"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La Secretaría de Hacienda y Crédito Público debe emitir su opinión sobre la propuesta de Modelo de Contratación, en un plazo de cinco días hábiles, contados a partir de la recepción de esta;</w:t>
            </w:r>
          </w:p>
        </w:tc>
        <w:tc>
          <w:tcPr>
            <w:tcW w:w="4649" w:type="dxa"/>
          </w:tcPr>
          <w:p w14:paraId="70F07795" w14:textId="6C590B41" w:rsidR="009849AC" w:rsidRPr="00837D4A" w:rsidRDefault="009849AC" w:rsidP="009849AC">
            <w:pPr>
              <w:pStyle w:val="Texto"/>
              <w:spacing w:after="90"/>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The Secretary of Finance and Public Credit must issue its opinion on the proposed Procurement Model within five business days of receiving it;</w:t>
            </w:r>
          </w:p>
        </w:tc>
      </w:tr>
      <w:tr w:rsidR="009849AC" w:rsidRPr="00C52435" w14:paraId="728258F7" w14:textId="54288451" w:rsidTr="00F867DE">
        <w:tc>
          <w:tcPr>
            <w:tcW w:w="4711" w:type="dxa"/>
          </w:tcPr>
          <w:p w14:paraId="61A78411"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lastRenderedPageBreak/>
              <w:t>II.</w:t>
            </w:r>
            <w:r w:rsidRPr="00837D4A">
              <w:rPr>
                <w:rFonts w:ascii="Verdana" w:hAnsi="Verdana"/>
                <w:b/>
                <w:sz w:val="16"/>
                <w:szCs w:val="16"/>
              </w:rPr>
              <w:tab/>
            </w:r>
            <w:r w:rsidRPr="00837D4A">
              <w:rPr>
                <w:rFonts w:ascii="Verdana" w:hAnsi="Verdana"/>
                <w:sz w:val="16"/>
                <w:szCs w:val="16"/>
              </w:rPr>
              <w:t>Determinado el Modelo de Contratación, la Secretaría cuenta con un plazo de veinte días hábiles para determinar los Términos y Condiciones Técnicos y solicitar a la Secretaría de Hacienda y Crédito Público que establezca las condiciones económicas relativas a los términos fiscales conforme a la Ley de Ingresos sobre Hidrocarburos y su reglamento, y</w:t>
            </w:r>
          </w:p>
        </w:tc>
        <w:tc>
          <w:tcPr>
            <w:tcW w:w="4649" w:type="dxa"/>
          </w:tcPr>
          <w:p w14:paraId="3168F490" w14:textId="0D006B7D"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Once the Contracting Model has been determined, the Secretary has a period of twenty business days to determine the Technical Terms and Conditions and request that the Secretary of Finance and Public Credit establish the economic conditions relating to the fiscal terms in accordance with the Law of Revenue from Hydrocarbons and its Regulation, and</w:t>
            </w:r>
          </w:p>
        </w:tc>
      </w:tr>
      <w:tr w:rsidR="009849AC" w:rsidRPr="00C52435" w14:paraId="2FC4638C" w14:textId="227B09B0" w:rsidTr="00F867DE">
        <w:tc>
          <w:tcPr>
            <w:tcW w:w="4711" w:type="dxa"/>
          </w:tcPr>
          <w:p w14:paraId="0D9BDEF0" w14:textId="0FBAFA13"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 xml:space="preserve">Concluido lo anterior, la Secretaría debe suscribir el Contrato para la Exploración y Extracción de Gas Natural asociado a una mina de carbón, en un plazo de cinco días hábiles. </w:t>
            </w:r>
          </w:p>
        </w:tc>
        <w:tc>
          <w:tcPr>
            <w:tcW w:w="4649" w:type="dxa"/>
          </w:tcPr>
          <w:p w14:paraId="652F6274" w14:textId="184E1F6B"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Once the above has been completed, the Secretary must sign the Contract for the Exploration and Extraction of Natural Gas associated with a coal mine within a period of five business days.</w:t>
            </w:r>
          </w:p>
        </w:tc>
      </w:tr>
      <w:tr w:rsidR="009849AC" w:rsidRPr="00D0180E" w14:paraId="54ABA0CC" w14:textId="65E0DAD9" w:rsidTr="00F867DE">
        <w:tc>
          <w:tcPr>
            <w:tcW w:w="4711" w:type="dxa"/>
          </w:tcPr>
          <w:p w14:paraId="1C2BBAD8"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Sección Sexta</w:t>
            </w:r>
          </w:p>
        </w:tc>
        <w:tc>
          <w:tcPr>
            <w:tcW w:w="4649" w:type="dxa"/>
          </w:tcPr>
          <w:p w14:paraId="7E38A772" w14:textId="555DB296" w:rsidR="009849AC" w:rsidRPr="00837D4A" w:rsidRDefault="009849AC" w:rsidP="009849AC">
            <w:pPr>
              <w:pStyle w:val="Texto"/>
              <w:spacing w:line="236" w:lineRule="exact"/>
              <w:ind w:firstLine="0"/>
              <w:jc w:val="center"/>
              <w:rPr>
                <w:rFonts w:ascii="Verdana" w:hAnsi="Verdana"/>
                <w:b/>
                <w:sz w:val="16"/>
                <w:szCs w:val="16"/>
                <w:lang w:val="en-US"/>
              </w:rPr>
            </w:pPr>
            <w:proofErr w:type="spellStart"/>
            <w:r w:rsidRPr="00837D4A">
              <w:rPr>
                <w:rFonts w:ascii="Verdana" w:hAnsi="Verdana"/>
                <w:b/>
                <w:sz w:val="16"/>
                <w:szCs w:val="16"/>
              </w:rPr>
              <w:t>Sixth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C52435" w14:paraId="7CA29078" w14:textId="5E7CC0D7" w:rsidTr="00F867DE">
        <w:tc>
          <w:tcPr>
            <w:tcW w:w="4711" w:type="dxa"/>
          </w:tcPr>
          <w:p w14:paraId="57449204"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De la Coexistencia de las Asignaciones y de los Contratos para la Exploración y Extracción con las Concesiones Mineras</w:t>
            </w:r>
          </w:p>
        </w:tc>
        <w:tc>
          <w:tcPr>
            <w:tcW w:w="4649" w:type="dxa"/>
          </w:tcPr>
          <w:p w14:paraId="72FEDED4" w14:textId="069916E9" w:rsidR="009849AC" w:rsidRPr="00837D4A" w:rsidRDefault="009849AC" w:rsidP="009849AC">
            <w:pPr>
              <w:pStyle w:val="Texto"/>
              <w:spacing w:line="236" w:lineRule="exact"/>
              <w:ind w:firstLine="0"/>
              <w:jc w:val="center"/>
              <w:rPr>
                <w:rFonts w:ascii="Verdana" w:hAnsi="Verdana"/>
                <w:b/>
                <w:sz w:val="16"/>
                <w:szCs w:val="16"/>
                <w:lang w:val="en-US"/>
              </w:rPr>
            </w:pPr>
            <w:r w:rsidRPr="00837D4A">
              <w:rPr>
                <w:rFonts w:ascii="Verdana" w:hAnsi="Verdana"/>
                <w:b/>
                <w:sz w:val="16"/>
                <w:szCs w:val="16"/>
                <w:lang w:val="en-US"/>
              </w:rPr>
              <w:t>Coexistence of Assignments and Contracts for Exploration and Extraction with Mining Concessions</w:t>
            </w:r>
          </w:p>
        </w:tc>
      </w:tr>
      <w:tr w:rsidR="009849AC" w:rsidRPr="00C52435" w14:paraId="60482FEB" w14:textId="36B76C58" w:rsidTr="00F867DE">
        <w:tc>
          <w:tcPr>
            <w:tcW w:w="4711" w:type="dxa"/>
          </w:tcPr>
          <w:p w14:paraId="038D56D1"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Artículo 69.</w:t>
            </w:r>
            <w:r w:rsidRPr="00837D4A">
              <w:rPr>
                <w:rFonts w:ascii="Verdana" w:hAnsi="Verdana"/>
                <w:sz w:val="16"/>
                <w:szCs w:val="16"/>
              </w:rPr>
              <w:t xml:space="preserve"> Para efectos de lo dispuesto en el artículo 56, párrafos quinto y sexto, de la Ley, las personas Asignatarias o Contratistas, según corresponda, deben iniciar las negociaciones con el concesionario minero en un plazo de cuarenta y cinco días hábiles contado a partir de la fecha en que se haya suscrito el Contrato para la Exploración y Extracción o se haya otorgado la Asignación. En ese mismo plazo las personas Asignatarias o Contratistas, según corresponda, deben notificar a la Secretaría el inicio de las negociaciones.</w:t>
            </w:r>
          </w:p>
        </w:tc>
        <w:tc>
          <w:tcPr>
            <w:tcW w:w="4649" w:type="dxa"/>
          </w:tcPr>
          <w:p w14:paraId="35C4333A" w14:textId="73F63802"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69. </w:t>
            </w:r>
            <w:r w:rsidRPr="00837D4A">
              <w:rPr>
                <w:rFonts w:ascii="Verdana" w:hAnsi="Verdana"/>
                <w:sz w:val="16"/>
                <w:szCs w:val="16"/>
                <w:lang w:val="en-US"/>
              </w:rPr>
              <w:t>For the purposes of the provisions of Article 56, paragraphs five and six of the Law, the Assignees or Contractors, as appropriate, must initiate negotiations with the mining concessionaire within forty-five business days from the date on which the Exploration and Extraction Contract was signed or the Assignment was granted. Within that same period, the Assignees or Contractors, as appropriate, must notify the Secretary of the initiation of negotiations.</w:t>
            </w:r>
          </w:p>
        </w:tc>
      </w:tr>
      <w:tr w:rsidR="009849AC" w:rsidRPr="00C52435" w14:paraId="15A9F82D" w14:textId="42EE07F2" w:rsidTr="00F867DE">
        <w:tc>
          <w:tcPr>
            <w:tcW w:w="4711" w:type="dxa"/>
          </w:tcPr>
          <w:p w14:paraId="4C6339B7"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Artículo 70.</w:t>
            </w:r>
            <w:r w:rsidRPr="00837D4A">
              <w:rPr>
                <w:rFonts w:ascii="Verdana" w:hAnsi="Verdana"/>
                <w:sz w:val="16"/>
                <w:szCs w:val="16"/>
              </w:rPr>
              <w:t xml:space="preserve"> Si como resultado de las negociaciones a que se refiere el artículo anterior, la persona Asignataria o Contratista y la persona concesionaria minera hubieren llegado a un acuerdo que permita el desarrollo del Contrato para la Exploración y Extracción o de la Asignación, la persona Asignataria o Contratista deben dar aviso a la Secretaría de dicho acuerdo, en un plazo de quince días hábiles posteriores a la fecha de su suscripción.</w:t>
            </w:r>
          </w:p>
        </w:tc>
        <w:tc>
          <w:tcPr>
            <w:tcW w:w="4649" w:type="dxa"/>
          </w:tcPr>
          <w:p w14:paraId="40B39A84" w14:textId="40502DB2"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70. </w:t>
            </w:r>
            <w:r w:rsidRPr="00837D4A">
              <w:rPr>
                <w:rFonts w:ascii="Verdana" w:hAnsi="Verdana"/>
                <w:sz w:val="16"/>
                <w:szCs w:val="16"/>
                <w:lang w:val="en-US"/>
              </w:rPr>
              <w:t>If, as a result of the negotiations referred to in the preceding article, the Assignee or Contractor and the mining concessionaire have reached an agreement that allows the development of the Contract for Exploration and Extraction or the Assignment, the Assignee or Contractor must notify the Secretary of said agreement within a period of fifteen business days following the date of its Signed.</w:t>
            </w:r>
          </w:p>
        </w:tc>
      </w:tr>
      <w:tr w:rsidR="009849AC" w:rsidRPr="00C52435" w14:paraId="5B770AD9" w14:textId="453B9E5B" w:rsidTr="00F867DE">
        <w:tc>
          <w:tcPr>
            <w:tcW w:w="4711" w:type="dxa"/>
          </w:tcPr>
          <w:p w14:paraId="34A28FE5"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El acuerdo debe contener al menos:</w:t>
            </w:r>
          </w:p>
        </w:tc>
        <w:tc>
          <w:tcPr>
            <w:tcW w:w="4649" w:type="dxa"/>
          </w:tcPr>
          <w:p w14:paraId="1B36F230" w14:textId="5D7DFF60"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The agreement must contain at least:</w:t>
            </w:r>
          </w:p>
        </w:tc>
      </w:tr>
      <w:tr w:rsidR="009849AC" w:rsidRPr="00C52435" w14:paraId="61152525" w14:textId="25F5C8D9" w:rsidTr="00F867DE">
        <w:tc>
          <w:tcPr>
            <w:tcW w:w="4711" w:type="dxa"/>
          </w:tcPr>
          <w:p w14:paraId="00E80BB1"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Vigencia del acuerdo;</w:t>
            </w:r>
          </w:p>
        </w:tc>
        <w:tc>
          <w:tcPr>
            <w:tcW w:w="4649" w:type="dxa"/>
          </w:tcPr>
          <w:p w14:paraId="6126E327" w14:textId="45BAF631"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Validity of the agreement;</w:t>
            </w:r>
          </w:p>
        </w:tc>
      </w:tr>
      <w:tr w:rsidR="009849AC" w:rsidRPr="00C52435" w14:paraId="1DD1B83C" w14:textId="2BE54375" w:rsidTr="00F867DE">
        <w:tc>
          <w:tcPr>
            <w:tcW w:w="4711" w:type="dxa"/>
          </w:tcPr>
          <w:p w14:paraId="033EDDDA"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Plan para la recepción total o parcial del Área Contractual, en su caso, y</w:t>
            </w:r>
          </w:p>
        </w:tc>
        <w:tc>
          <w:tcPr>
            <w:tcW w:w="4649" w:type="dxa"/>
          </w:tcPr>
          <w:p w14:paraId="1559B5C0" w14:textId="30839A5B"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Plan for the total or partial reception of the Contractual Area, if applicable, and</w:t>
            </w:r>
          </w:p>
        </w:tc>
      </w:tr>
      <w:tr w:rsidR="009849AC" w:rsidRPr="00C52435" w14:paraId="3058AFC3" w14:textId="2D9E3CDA" w:rsidTr="00F867DE">
        <w:tc>
          <w:tcPr>
            <w:tcW w:w="4711" w:type="dxa"/>
          </w:tcPr>
          <w:p w14:paraId="11958695"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Calendario para el pago de contraprestaciones que en su caso hayan pactado la persona concesionaria minera y la persona Asignataria o Contratista.</w:t>
            </w:r>
          </w:p>
        </w:tc>
        <w:tc>
          <w:tcPr>
            <w:tcW w:w="4649" w:type="dxa"/>
          </w:tcPr>
          <w:p w14:paraId="2A913038" w14:textId="10E7D167"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Schedule for the payment of considerations that may have been agreed upon by the mining concessionaire and the Assignee or Contractor.</w:t>
            </w:r>
          </w:p>
        </w:tc>
      </w:tr>
      <w:tr w:rsidR="009849AC" w:rsidRPr="00C52435" w14:paraId="35BF4F1A" w14:textId="1EF39097" w:rsidTr="00F867DE">
        <w:tc>
          <w:tcPr>
            <w:tcW w:w="4711" w:type="dxa"/>
          </w:tcPr>
          <w:p w14:paraId="555B9711"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El aviso a que se refiere este artículo debe acompañarse de copia del acuerdo ratificado ante fedatario público.</w:t>
            </w:r>
          </w:p>
        </w:tc>
        <w:tc>
          <w:tcPr>
            <w:tcW w:w="4649" w:type="dxa"/>
          </w:tcPr>
          <w:p w14:paraId="00FEA5D5" w14:textId="293A44B1"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 xml:space="preserve">The notice referred to in this article must be accompanied by a copy of the agreement ratified before a </w:t>
            </w:r>
            <w:proofErr w:type="spellStart"/>
            <w:r w:rsidRPr="00837D4A">
              <w:rPr>
                <w:rFonts w:ascii="Verdana" w:hAnsi="Verdana"/>
                <w:i/>
                <w:iCs/>
                <w:sz w:val="16"/>
                <w:szCs w:val="16"/>
                <w:lang w:val="en-US"/>
              </w:rPr>
              <w:t>notario</w:t>
            </w:r>
            <w:proofErr w:type="spellEnd"/>
            <w:r w:rsidRPr="00837D4A">
              <w:rPr>
                <w:rFonts w:ascii="Verdana" w:hAnsi="Verdana"/>
                <w:i/>
                <w:iCs/>
                <w:sz w:val="16"/>
                <w:szCs w:val="16"/>
                <w:lang w:val="en-US"/>
              </w:rPr>
              <w:t xml:space="preserve"> </w:t>
            </w:r>
            <w:proofErr w:type="spellStart"/>
            <w:r w:rsidRPr="00837D4A">
              <w:rPr>
                <w:rFonts w:ascii="Verdana" w:hAnsi="Verdana"/>
                <w:i/>
                <w:iCs/>
                <w:sz w:val="16"/>
                <w:szCs w:val="16"/>
                <w:lang w:val="en-US"/>
              </w:rPr>
              <w:t>público</w:t>
            </w:r>
            <w:proofErr w:type="spellEnd"/>
            <w:r w:rsidRPr="00837D4A">
              <w:rPr>
                <w:rStyle w:val="FootnoteReference"/>
                <w:rFonts w:ascii="Verdana" w:hAnsi="Verdana"/>
                <w:i/>
                <w:iCs/>
                <w:sz w:val="16"/>
                <w:szCs w:val="16"/>
                <w:lang w:val="en-US"/>
              </w:rPr>
              <w:footnoteReference w:id="2"/>
            </w:r>
            <w:r w:rsidRPr="00837D4A">
              <w:rPr>
                <w:rFonts w:ascii="Verdana" w:hAnsi="Verdana"/>
                <w:sz w:val="16"/>
                <w:szCs w:val="16"/>
                <w:lang w:val="en-US"/>
              </w:rPr>
              <w:t>.</w:t>
            </w:r>
          </w:p>
        </w:tc>
      </w:tr>
      <w:tr w:rsidR="009849AC" w:rsidRPr="00C52435" w14:paraId="4DB05075" w14:textId="442C9FF7" w:rsidTr="00F867DE">
        <w:tc>
          <w:tcPr>
            <w:tcW w:w="4711" w:type="dxa"/>
          </w:tcPr>
          <w:p w14:paraId="074A6FD1"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lastRenderedPageBreak/>
              <w:t xml:space="preserve">Artículo 71. </w:t>
            </w:r>
            <w:r w:rsidRPr="00837D4A">
              <w:rPr>
                <w:rFonts w:ascii="Verdana" w:hAnsi="Verdana"/>
                <w:sz w:val="16"/>
                <w:szCs w:val="16"/>
              </w:rPr>
              <w:t>En caso de no haber llegado al acuerdo a que se refiere el artículo anterior en el plazo de noventa días establecido en el artículo 56, séptimo párrafo de la Ley, la persona Asignataria o Contratista o la persona concesionaria minera, deben notificar dicha circunstancia a la Secretaría a efecto de que dentro de los quince días hábiles siguientes, esta inicie el procedimiento para determinar si ambas actividades pueden coexistir y, en su caso, definir la posible afectación de derechos de la concesión minera, de conformidad con lo siguiente:</w:t>
            </w:r>
          </w:p>
        </w:tc>
        <w:tc>
          <w:tcPr>
            <w:tcW w:w="4649" w:type="dxa"/>
          </w:tcPr>
          <w:p w14:paraId="7F019A6C" w14:textId="73D8F0B7"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71. </w:t>
            </w:r>
            <w:r w:rsidRPr="00837D4A">
              <w:rPr>
                <w:rFonts w:ascii="Verdana" w:hAnsi="Verdana"/>
                <w:sz w:val="16"/>
                <w:szCs w:val="16"/>
                <w:lang w:val="en-US"/>
              </w:rPr>
              <w:t>In the event that the agreement referred to in the preceding article has not been reached within the ninety-day period established in article 56, seventh paragraph of the Law, the Assignee or Contractor or the mining concession holder must notify this circumstance to the Secretary so that within the following fifteen business days, the Secretary may initiate the procedure to determine whether both activities may coexist and, if applicable, define the possible affectation of rights of the mining concession, in accordance with the following:</w:t>
            </w:r>
          </w:p>
        </w:tc>
      </w:tr>
      <w:tr w:rsidR="009849AC" w:rsidRPr="00C52435" w14:paraId="553F2855" w14:textId="7B8E28C7" w:rsidTr="00F867DE">
        <w:tc>
          <w:tcPr>
            <w:tcW w:w="4711" w:type="dxa"/>
          </w:tcPr>
          <w:p w14:paraId="000B86CD"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Secretaría debe requerir la asistencia e información sobre la concesión minera de que se trate a la Secretaría de Economía y demás autoridades competentes y puede solicitar información a la persona titular de la concesión minera, la persona Asignataria o Contratista, y</w:t>
            </w:r>
          </w:p>
        </w:tc>
        <w:tc>
          <w:tcPr>
            <w:tcW w:w="4649" w:type="dxa"/>
          </w:tcPr>
          <w:p w14:paraId="17BF4AC3" w14:textId="78689294"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Secretary must request assistance and information on the mining concession in question from the Secretary of Economy and other appropriate authorities and may request information from the holder of the mining concession, the Assignee or Contractor, and</w:t>
            </w:r>
          </w:p>
        </w:tc>
      </w:tr>
      <w:tr w:rsidR="009849AC" w:rsidRPr="00C52435" w14:paraId="2AA4CC50" w14:textId="20A3E70B" w:rsidTr="00F867DE">
        <w:tc>
          <w:tcPr>
            <w:tcW w:w="4711" w:type="dxa"/>
          </w:tcPr>
          <w:p w14:paraId="72FB381E"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Secretaría debe resolver en un plazo de sesenta días hábiles, contado a partir de la notificación a que se refiere el primer párrafo del presente artículo. Su determinación respecto de la coexistencia o no de las actividades extractivas debe ser notificada a la persona Asignataria o Contratista, en su caso, así como a la persona titular de la concesión minera.</w:t>
            </w:r>
          </w:p>
        </w:tc>
        <w:tc>
          <w:tcPr>
            <w:tcW w:w="4649" w:type="dxa"/>
          </w:tcPr>
          <w:p w14:paraId="4AE3606B" w14:textId="1C84106A"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Secretary must make a decision within sixty business days, counting from the notification referred to in the first paragraph of this article. Its determination regarding the coexistence or non-coexistence of extractive activities must be notified to the Assignee or Contractor, as applicable, as well as to the holder of the mining concession.</w:t>
            </w:r>
          </w:p>
        </w:tc>
      </w:tr>
      <w:tr w:rsidR="009849AC" w:rsidRPr="00C52435" w14:paraId="7ADCF1E6" w14:textId="0FF6D765" w:rsidTr="00F867DE">
        <w:tc>
          <w:tcPr>
            <w:tcW w:w="4711" w:type="dxa"/>
          </w:tcPr>
          <w:p w14:paraId="0F3EE4D1" w14:textId="77777777" w:rsidR="009849AC" w:rsidRPr="00837D4A" w:rsidRDefault="009849AC" w:rsidP="009849AC">
            <w:pPr>
              <w:pStyle w:val="Texto"/>
              <w:spacing w:line="236" w:lineRule="exact"/>
              <w:ind w:firstLine="0"/>
              <w:rPr>
                <w:rFonts w:ascii="Verdana" w:hAnsi="Verdana"/>
                <w:b/>
                <w:sz w:val="16"/>
                <w:szCs w:val="16"/>
              </w:rPr>
            </w:pPr>
            <w:r w:rsidRPr="00837D4A">
              <w:rPr>
                <w:rFonts w:ascii="Verdana" w:hAnsi="Verdana"/>
                <w:b/>
                <w:sz w:val="16"/>
                <w:szCs w:val="16"/>
              </w:rPr>
              <w:t>Artículo 72.</w:t>
            </w:r>
            <w:r w:rsidRPr="00837D4A">
              <w:rPr>
                <w:rFonts w:ascii="Verdana" w:hAnsi="Verdana"/>
                <w:sz w:val="16"/>
                <w:szCs w:val="16"/>
              </w:rPr>
              <w:t xml:space="preserve"> Para el cumplimiento del artículo 56, párrafo noveno de la Ley, la persona concesionaria minera debe presentar a la Secretaría la solicitud de autorización correspondiente y debe cumplir con los requerimientos establecidos en la Normatividad aplicable.</w:t>
            </w:r>
          </w:p>
        </w:tc>
        <w:tc>
          <w:tcPr>
            <w:tcW w:w="4649" w:type="dxa"/>
          </w:tcPr>
          <w:p w14:paraId="0BB1EE19" w14:textId="7DD4DB96"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72. </w:t>
            </w:r>
            <w:r w:rsidRPr="00837D4A">
              <w:rPr>
                <w:rFonts w:ascii="Verdana" w:hAnsi="Verdana"/>
                <w:sz w:val="16"/>
                <w:szCs w:val="16"/>
                <w:lang w:val="en-US"/>
              </w:rPr>
              <w:t>In order to comply with Article 56, paragraph nine of the Law, the mining concessionaire must submit the corresponding authorization request to the Secretary and must comply with the requirements established in the applicable legislation.</w:t>
            </w:r>
          </w:p>
        </w:tc>
      </w:tr>
      <w:tr w:rsidR="009849AC" w:rsidRPr="00C52435" w14:paraId="6C868C10" w14:textId="4407F598" w:rsidTr="00F867DE">
        <w:tc>
          <w:tcPr>
            <w:tcW w:w="4711" w:type="dxa"/>
          </w:tcPr>
          <w:p w14:paraId="09390BCE"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Artículo 73.</w:t>
            </w:r>
            <w:r w:rsidRPr="00837D4A">
              <w:rPr>
                <w:rFonts w:ascii="Verdana" w:hAnsi="Verdana"/>
                <w:sz w:val="16"/>
                <w:szCs w:val="16"/>
              </w:rPr>
              <w:t xml:space="preserve"> La afectación a los derechos de una concesión minera a que se refiere el artículo 56, párrafos octavo y décimo de la Ley, debe ser cubierta por las personas Asignatarias o Contratistas a favor de la persona concesionaria minera, mediante la indemnización o contraprestación que determine la Secretaría, conforme a lo siguiente:</w:t>
            </w:r>
          </w:p>
        </w:tc>
        <w:tc>
          <w:tcPr>
            <w:tcW w:w="4649" w:type="dxa"/>
          </w:tcPr>
          <w:p w14:paraId="0065B11F" w14:textId="564DA5B5"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73. </w:t>
            </w:r>
            <w:r w:rsidRPr="00837D4A">
              <w:rPr>
                <w:rFonts w:ascii="Verdana" w:hAnsi="Verdana"/>
                <w:sz w:val="16"/>
                <w:szCs w:val="16"/>
                <w:lang w:val="en-US"/>
              </w:rPr>
              <w:t>The affectation of the rights of a mining concession referred to in article 56, paragraphs eight and ten of the Law, must be covered by the Assignees or Contractors in favor of the mining concessionaire, through the compensation or consideration determined by the Secretary, in accordance with the following:</w:t>
            </w:r>
          </w:p>
        </w:tc>
      </w:tr>
      <w:tr w:rsidR="009849AC" w:rsidRPr="00C52435" w14:paraId="3833C057" w14:textId="5848B120" w:rsidTr="00F867DE">
        <w:tc>
          <w:tcPr>
            <w:tcW w:w="4711" w:type="dxa"/>
          </w:tcPr>
          <w:p w14:paraId="00B844CB"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El monto de la indemnización debe determinarse con base en el avalúo que realicen el Instituto, instituciones de crédito del país que se encuentren autorizadas, corredores públicos o profesionistas con postgrado en valuación. Los costos del citado avalúo corren a cargo de las personas Asignatarias o Contratistas;</w:t>
            </w:r>
          </w:p>
        </w:tc>
        <w:tc>
          <w:tcPr>
            <w:tcW w:w="4649" w:type="dxa"/>
          </w:tcPr>
          <w:p w14:paraId="77C001AC" w14:textId="607B780F"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amount of compensation shall be determined based on an appraisal conducted by the Institute, authorized domestic credit institutions, public brokers, or professionals with postgraduate qualifications in valuation. The costs of such appraisal shall be borne by the Assignees or Contractors;</w:t>
            </w:r>
          </w:p>
        </w:tc>
      </w:tr>
      <w:tr w:rsidR="009849AC" w:rsidRPr="00C52435" w14:paraId="60AD48A5" w14:textId="1C0D250A" w:rsidTr="00F867DE">
        <w:tc>
          <w:tcPr>
            <w:tcW w:w="4711" w:type="dxa"/>
          </w:tcPr>
          <w:p w14:paraId="3466A3F9"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 xml:space="preserve">En su caso, conforme a la gravedad de la afectación ocasionada por la suspensión total o parcial de obras y trabajos de explotación de minerales, la Secretaría debe fijar el monto de una contraprestación, la cual puede ser de entre el punto cinco y el dos por </w:t>
            </w:r>
            <w:r w:rsidRPr="00837D4A">
              <w:rPr>
                <w:rFonts w:ascii="Verdana" w:hAnsi="Verdana"/>
                <w:sz w:val="16"/>
                <w:szCs w:val="16"/>
              </w:rPr>
              <w:lastRenderedPageBreak/>
              <w:t>ciento de la utilidad después del pago de contribuciones de la persona Asignataria o Contratista en el proyecto de que se trate, para lo cual debe auxiliarse de peritos. Los costos por honorarios de los peritos son a cargo de la persona Asignataria o Contratista.</w:t>
            </w:r>
          </w:p>
        </w:tc>
        <w:tc>
          <w:tcPr>
            <w:tcW w:w="4649" w:type="dxa"/>
          </w:tcPr>
          <w:p w14:paraId="3F52A65B" w14:textId="0EB31183"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lastRenderedPageBreak/>
              <w:t xml:space="preserve">II. </w:t>
            </w:r>
            <w:r w:rsidRPr="00837D4A">
              <w:rPr>
                <w:rFonts w:ascii="Verdana" w:hAnsi="Verdana"/>
                <w:b/>
                <w:sz w:val="16"/>
                <w:szCs w:val="16"/>
                <w:lang w:val="en-US"/>
              </w:rPr>
              <w:tab/>
            </w:r>
            <w:r w:rsidRPr="00837D4A">
              <w:rPr>
                <w:rFonts w:ascii="Verdana" w:hAnsi="Verdana"/>
                <w:sz w:val="16"/>
                <w:szCs w:val="16"/>
                <w:lang w:val="en-US"/>
              </w:rPr>
              <w:t xml:space="preserve">Where applicable, depending on the severity of the impact caused by the total or partial suspension of mineral exploitation works and activities, the Secretary must set the amount of compensation, which may be between 5.0 and 2.0 percent of the profit after payment </w:t>
            </w:r>
            <w:r w:rsidRPr="00837D4A">
              <w:rPr>
                <w:rFonts w:ascii="Verdana" w:hAnsi="Verdana"/>
                <w:sz w:val="16"/>
                <w:szCs w:val="16"/>
                <w:lang w:val="en-US"/>
              </w:rPr>
              <w:lastRenderedPageBreak/>
              <w:t>of taxes of the Assignee or Contractor in the project in question, for which it must be assisted by experts. The costs of the experts' fees are borne by the Assignee or Contractor.</w:t>
            </w:r>
          </w:p>
        </w:tc>
      </w:tr>
      <w:tr w:rsidR="009849AC" w:rsidRPr="00C52435" w14:paraId="1A00F785" w14:textId="60C4D3F6" w:rsidTr="00F867DE">
        <w:tc>
          <w:tcPr>
            <w:tcW w:w="4711" w:type="dxa"/>
          </w:tcPr>
          <w:p w14:paraId="72C8BCD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lang w:val="en-US"/>
              </w:rPr>
              <w:lastRenderedPageBreak/>
              <w:tab/>
            </w:r>
            <w:r w:rsidRPr="00837D4A">
              <w:rPr>
                <w:rFonts w:ascii="Verdana" w:hAnsi="Verdana"/>
                <w:sz w:val="16"/>
                <w:szCs w:val="16"/>
              </w:rPr>
              <w:t>Los peritos a los que hace referencia esta fracción deben tener título en la ciencia que pertenezca al tema sobre el que ha de oírse su opinión si la profesión estuviere legalmente reglamentada, y</w:t>
            </w:r>
          </w:p>
        </w:tc>
        <w:tc>
          <w:tcPr>
            <w:tcW w:w="4649" w:type="dxa"/>
          </w:tcPr>
          <w:p w14:paraId="7A047B93" w14:textId="1FCD1ECC"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The experts referred to in this section must have a degree in the science that pertains to the subject on which their opinion is to be heard if the profession is legally regulated, and</w:t>
            </w:r>
          </w:p>
        </w:tc>
      </w:tr>
      <w:tr w:rsidR="009849AC" w:rsidRPr="00C52435" w14:paraId="3AD18959" w14:textId="1905B63C" w:rsidTr="00F867DE">
        <w:tc>
          <w:tcPr>
            <w:tcW w:w="4711" w:type="dxa"/>
          </w:tcPr>
          <w:p w14:paraId="32246F6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Para las fracciones anteriores en el caso de obras y trabajos de Exploración realizadas al amparo de la concesión minera, se debe presentar el informe de comprobación al que se refiere el artículo 28 de la Ley de Minería.</w:t>
            </w:r>
          </w:p>
        </w:tc>
        <w:tc>
          <w:tcPr>
            <w:tcW w:w="4649" w:type="dxa"/>
          </w:tcPr>
          <w:p w14:paraId="0B2CCAC8" w14:textId="1B232EE2"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For the above sections in the case of works and exploration works carried out under the mining concession, the verification report referred to in article 28 of the Mining Law must be submitted.</w:t>
            </w:r>
          </w:p>
        </w:tc>
      </w:tr>
      <w:tr w:rsidR="009849AC" w:rsidRPr="00C52435" w14:paraId="6AA055D9" w14:textId="506C09DC" w:rsidTr="00F867DE">
        <w:tc>
          <w:tcPr>
            <w:tcW w:w="4711" w:type="dxa"/>
          </w:tcPr>
          <w:p w14:paraId="138EDC2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74.</w:t>
            </w:r>
            <w:r w:rsidRPr="00837D4A">
              <w:rPr>
                <w:rFonts w:ascii="Verdana" w:hAnsi="Verdana"/>
                <w:sz w:val="16"/>
                <w:szCs w:val="16"/>
              </w:rPr>
              <w:t xml:space="preserve"> La indemnización y contraprestaciones a las que se refiere el artículo anterior deben cubrirse conforme al calendario que para tal efecto suscriban las personas Asignatarias o Contratistas con las personas concesionarias mineras de que se trate.</w:t>
            </w:r>
          </w:p>
        </w:tc>
        <w:tc>
          <w:tcPr>
            <w:tcW w:w="4649" w:type="dxa"/>
          </w:tcPr>
          <w:p w14:paraId="5BC32765" w14:textId="0AC47D63"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74. </w:t>
            </w:r>
            <w:r w:rsidRPr="00837D4A">
              <w:rPr>
                <w:rFonts w:ascii="Verdana" w:hAnsi="Verdana"/>
                <w:sz w:val="16"/>
                <w:szCs w:val="16"/>
                <w:lang w:val="en-US"/>
              </w:rPr>
              <w:t>The compensation and considerations referred to in the preceding article must be covered in accordance with the schedule signed for such purpose by the Assignees or Contractors with the mining concessionaires in question.</w:t>
            </w:r>
          </w:p>
        </w:tc>
      </w:tr>
      <w:tr w:rsidR="009849AC" w:rsidRPr="00D0180E" w14:paraId="3D35C1BC" w14:textId="68CB2BCD" w:rsidTr="00F867DE">
        <w:tc>
          <w:tcPr>
            <w:tcW w:w="4711" w:type="dxa"/>
          </w:tcPr>
          <w:p w14:paraId="240A60F1"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Capítulo VI</w:t>
            </w:r>
          </w:p>
        </w:tc>
        <w:tc>
          <w:tcPr>
            <w:tcW w:w="4649" w:type="dxa"/>
          </w:tcPr>
          <w:p w14:paraId="555C36B5" w14:textId="02A3B6D7"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VI</w:t>
            </w:r>
          </w:p>
        </w:tc>
      </w:tr>
      <w:tr w:rsidR="009849AC" w:rsidRPr="000513DC" w14:paraId="4F3DF3FD" w14:textId="4DAB926C" w:rsidTr="00F867DE">
        <w:tc>
          <w:tcPr>
            <w:tcW w:w="4711" w:type="dxa"/>
          </w:tcPr>
          <w:p w14:paraId="52562E60"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 la Información Nacional de Hidrocarburos</w:t>
            </w:r>
          </w:p>
        </w:tc>
        <w:tc>
          <w:tcPr>
            <w:tcW w:w="4649" w:type="dxa"/>
          </w:tcPr>
          <w:p w14:paraId="4A1D1CD0" w14:textId="2F0AEB8C"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National Hydrocarbon Information</w:t>
            </w:r>
          </w:p>
        </w:tc>
      </w:tr>
      <w:tr w:rsidR="009849AC" w:rsidRPr="00C52435" w14:paraId="45DF41B3" w14:textId="59E740C3" w:rsidTr="00F867DE">
        <w:tc>
          <w:tcPr>
            <w:tcW w:w="4711" w:type="dxa"/>
          </w:tcPr>
          <w:p w14:paraId="16C605F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75.</w:t>
            </w:r>
            <w:r w:rsidRPr="00837D4A">
              <w:rPr>
                <w:rFonts w:ascii="Verdana" w:hAnsi="Verdana"/>
                <w:sz w:val="16"/>
                <w:szCs w:val="16"/>
              </w:rPr>
              <w:t xml:space="preserve"> La Secretaría debe definir los mecanismos y criterios para que el público en general tenga acceso a la información y documentación a que se refiere el Título Segundo, Capítulo V de la Ley, para lo cual se debe estar a lo establecido en la Ley de Planeación y Transición Energética, su reglamento, la Ley General de Transparencia y Acceso a la Información Pública y demás Normatividad que para tal efecto emita la Secretaría.</w:t>
            </w:r>
          </w:p>
        </w:tc>
        <w:tc>
          <w:tcPr>
            <w:tcW w:w="4649" w:type="dxa"/>
          </w:tcPr>
          <w:p w14:paraId="17AC5395" w14:textId="45B1E220"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75. </w:t>
            </w:r>
            <w:r w:rsidRPr="00837D4A">
              <w:rPr>
                <w:rFonts w:ascii="Verdana" w:hAnsi="Verdana"/>
                <w:sz w:val="16"/>
                <w:szCs w:val="16"/>
                <w:lang w:val="en-US"/>
              </w:rPr>
              <w:t xml:space="preserve">The Secretary must define the mechanisms and criteria for the general public to have access to the information and documentation referred to in </w:t>
            </w:r>
            <w:r w:rsidR="001314DD">
              <w:rPr>
                <w:rFonts w:ascii="Verdana" w:hAnsi="Verdana"/>
                <w:sz w:val="16"/>
                <w:szCs w:val="16"/>
                <w:lang w:val="en-US"/>
              </w:rPr>
              <w:t>Second Title</w:t>
            </w:r>
            <w:r w:rsidRPr="00837D4A">
              <w:rPr>
                <w:rFonts w:ascii="Verdana" w:hAnsi="Verdana"/>
                <w:sz w:val="16"/>
                <w:szCs w:val="16"/>
                <w:lang w:val="en-US"/>
              </w:rPr>
              <w:t>, Chapter V of the Law, for which purpose it must comply with the provisions of the Law of Energy Planning and Transition, its Regulation, the General Law on Transparency and Access to Public Information and other Legislation issued by the Secretary for this purpose.</w:t>
            </w:r>
          </w:p>
        </w:tc>
      </w:tr>
      <w:tr w:rsidR="009849AC" w:rsidRPr="00D0180E" w14:paraId="099D6460" w14:textId="490F2D55" w:rsidTr="00F867DE">
        <w:tc>
          <w:tcPr>
            <w:tcW w:w="4711" w:type="dxa"/>
          </w:tcPr>
          <w:p w14:paraId="20E844A0"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Sección Primera</w:t>
            </w:r>
          </w:p>
        </w:tc>
        <w:tc>
          <w:tcPr>
            <w:tcW w:w="4649" w:type="dxa"/>
          </w:tcPr>
          <w:p w14:paraId="664AE42D" w14:textId="78750DC1"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rPr>
              <w:t>First</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C52435" w14:paraId="57882EBE" w14:textId="62208B6E" w:rsidTr="00F867DE">
        <w:tc>
          <w:tcPr>
            <w:tcW w:w="4711" w:type="dxa"/>
          </w:tcPr>
          <w:p w14:paraId="76207DD4"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 la Información Estratégica del Subsuelo</w:t>
            </w:r>
          </w:p>
        </w:tc>
        <w:tc>
          <w:tcPr>
            <w:tcW w:w="4649" w:type="dxa"/>
          </w:tcPr>
          <w:p w14:paraId="1591E92F" w14:textId="709DAC85"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Strategic Information of the Subsoil</w:t>
            </w:r>
          </w:p>
        </w:tc>
      </w:tr>
      <w:tr w:rsidR="009849AC" w:rsidRPr="00C52435" w14:paraId="319AD3D2" w14:textId="19AB6AF8" w:rsidTr="00F867DE">
        <w:tc>
          <w:tcPr>
            <w:tcW w:w="4711" w:type="dxa"/>
          </w:tcPr>
          <w:p w14:paraId="1E760B43"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76.</w:t>
            </w:r>
            <w:r w:rsidRPr="00837D4A">
              <w:rPr>
                <w:rFonts w:ascii="Verdana" w:hAnsi="Verdana"/>
                <w:sz w:val="16"/>
                <w:szCs w:val="16"/>
              </w:rPr>
              <w:t xml:space="preserve"> La Secretaría debe emitir la Normatividad mediante la cual se establezca lo relativo a la confidencialidad y el aprovechamiento comercial exclusivo de la información obtenida de las actividades de Reconocimiento y Exploración Superficial, Exploración y Extracción de Hidrocarburos, según corresponda, así como los requisitos y procedimientos aplicables para el acceso, uso, entrega y actualización de la información digital, así como para la entrega y resguardo de las muestras físicas. Los institutos sectorizados, instituciones académicas o cualquier otra persona de acuerdo con sus capacidades, pueden contribuir en lo dispuesto en este artículo.</w:t>
            </w:r>
          </w:p>
        </w:tc>
        <w:tc>
          <w:tcPr>
            <w:tcW w:w="4649" w:type="dxa"/>
          </w:tcPr>
          <w:p w14:paraId="60337D17" w14:textId="6D81688E"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76. </w:t>
            </w:r>
            <w:r w:rsidRPr="00837D4A">
              <w:rPr>
                <w:rFonts w:ascii="Verdana" w:hAnsi="Verdana"/>
                <w:sz w:val="16"/>
                <w:szCs w:val="16"/>
                <w:lang w:val="en-US"/>
              </w:rPr>
              <w:t>The Secretary must issue legislation establishing the confidentiality and exclusive commercial use of information obtained from surface reconnaissance and exploration, and hydrocarbon exploration and extraction activities, as applicable, as well as the requirements and procedures applicable to access, use, delivery, and updating of digital information, as well as for the delivery and safekeeping of physical samples. Sectoral institutes, academic institutions, or any other person, in accordance with their capabilities, may contribute to the provisions of this article.</w:t>
            </w:r>
          </w:p>
        </w:tc>
      </w:tr>
      <w:tr w:rsidR="009849AC" w:rsidRPr="00C52435" w14:paraId="39191668" w14:textId="3252C2C2" w:rsidTr="00F867DE">
        <w:tc>
          <w:tcPr>
            <w:tcW w:w="4711" w:type="dxa"/>
          </w:tcPr>
          <w:p w14:paraId="1BBCE7E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Secretaría debe establecer mecanismos de verificación y validación de la información y muestras recibidas.</w:t>
            </w:r>
          </w:p>
        </w:tc>
        <w:tc>
          <w:tcPr>
            <w:tcW w:w="4649" w:type="dxa"/>
          </w:tcPr>
          <w:p w14:paraId="2C06596E" w14:textId="2A497461"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Secretary must establish mechanisms for verification and validation of the information and samples received.</w:t>
            </w:r>
          </w:p>
        </w:tc>
      </w:tr>
      <w:tr w:rsidR="009849AC" w:rsidRPr="00D0180E" w14:paraId="6F22D29B" w14:textId="0AA19958" w:rsidTr="00F867DE">
        <w:tc>
          <w:tcPr>
            <w:tcW w:w="4711" w:type="dxa"/>
          </w:tcPr>
          <w:p w14:paraId="127D61EF"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Capítulo VII</w:t>
            </w:r>
          </w:p>
        </w:tc>
        <w:tc>
          <w:tcPr>
            <w:tcW w:w="4649" w:type="dxa"/>
          </w:tcPr>
          <w:p w14:paraId="74848A46" w14:textId="62C7181E"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VII</w:t>
            </w:r>
          </w:p>
        </w:tc>
      </w:tr>
      <w:tr w:rsidR="009849AC" w:rsidRPr="00D0180E" w14:paraId="7BD0B825" w14:textId="1BB9A04F" w:rsidTr="00F867DE">
        <w:tc>
          <w:tcPr>
            <w:tcW w:w="4711" w:type="dxa"/>
          </w:tcPr>
          <w:p w14:paraId="25F67AC6"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 las Zonas de Salvaguarda</w:t>
            </w:r>
          </w:p>
        </w:tc>
        <w:tc>
          <w:tcPr>
            <w:tcW w:w="4649" w:type="dxa"/>
          </w:tcPr>
          <w:p w14:paraId="3B47BA5C" w14:textId="18950407"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rPr>
              <w:t>Safeguard</w:t>
            </w:r>
            <w:proofErr w:type="spellEnd"/>
            <w:r w:rsidRPr="00837D4A">
              <w:rPr>
                <w:rFonts w:ascii="Verdana" w:hAnsi="Verdana"/>
                <w:b/>
                <w:sz w:val="16"/>
                <w:szCs w:val="16"/>
              </w:rPr>
              <w:t xml:space="preserve"> </w:t>
            </w:r>
            <w:proofErr w:type="spellStart"/>
            <w:r w:rsidRPr="00837D4A">
              <w:rPr>
                <w:rFonts w:ascii="Verdana" w:hAnsi="Verdana"/>
                <w:b/>
                <w:sz w:val="16"/>
                <w:szCs w:val="16"/>
              </w:rPr>
              <w:t>Zones</w:t>
            </w:r>
            <w:proofErr w:type="spellEnd"/>
          </w:p>
        </w:tc>
      </w:tr>
      <w:tr w:rsidR="009849AC" w:rsidRPr="00C52435" w14:paraId="4902D9B1" w14:textId="49C53616" w:rsidTr="00F867DE">
        <w:tc>
          <w:tcPr>
            <w:tcW w:w="4711" w:type="dxa"/>
          </w:tcPr>
          <w:p w14:paraId="113568D1"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lastRenderedPageBreak/>
              <w:t>Artículo 77.</w:t>
            </w:r>
            <w:r w:rsidRPr="00837D4A">
              <w:rPr>
                <w:rFonts w:ascii="Verdana" w:hAnsi="Verdana"/>
                <w:sz w:val="16"/>
                <w:szCs w:val="16"/>
              </w:rPr>
              <w:t xml:space="preserve"> La Secretaría debe emitir los dictámenes técnicos a los que se refiere el artículo 69 de la Ley, los cuales deben considerar entre otros los siguientes elementos:</w:t>
            </w:r>
          </w:p>
        </w:tc>
        <w:tc>
          <w:tcPr>
            <w:tcW w:w="4649" w:type="dxa"/>
          </w:tcPr>
          <w:p w14:paraId="2DB8BB97" w14:textId="7E444499"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77. </w:t>
            </w:r>
            <w:r w:rsidRPr="00837D4A">
              <w:rPr>
                <w:rFonts w:ascii="Verdana" w:hAnsi="Verdana"/>
                <w:sz w:val="16"/>
                <w:szCs w:val="16"/>
                <w:lang w:val="en-US"/>
              </w:rPr>
              <w:t>The Secretary must issue the technical opinions referred to in Article 69 of the Law, which must consider, among others, the following elements:</w:t>
            </w:r>
          </w:p>
        </w:tc>
      </w:tr>
      <w:tr w:rsidR="009849AC" w:rsidRPr="00C52435" w14:paraId="22A1B3D1" w14:textId="23016247" w:rsidTr="00F867DE">
        <w:tc>
          <w:tcPr>
            <w:tcW w:w="4711" w:type="dxa"/>
          </w:tcPr>
          <w:p w14:paraId="0D6624E2"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Ubicación y descripción detallada de la Zona de Salvaguarda;</w:t>
            </w:r>
          </w:p>
        </w:tc>
        <w:tc>
          <w:tcPr>
            <w:tcW w:w="4649" w:type="dxa"/>
          </w:tcPr>
          <w:p w14:paraId="07241025" w14:textId="4497C4B9"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Location and detailed description of the Safeguard Zone;</w:t>
            </w:r>
          </w:p>
        </w:tc>
      </w:tr>
      <w:tr w:rsidR="009849AC" w:rsidRPr="00C52435" w14:paraId="23AC694E" w14:textId="0D8C0076" w:rsidTr="00F867DE">
        <w:tc>
          <w:tcPr>
            <w:tcW w:w="4711" w:type="dxa"/>
          </w:tcPr>
          <w:p w14:paraId="307C17DE"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Causas que justifican la incorporación o desincorporación de las Zonas de Salvaguarda, entre las que se pueden encontrar las siguientes:</w:t>
            </w:r>
          </w:p>
        </w:tc>
        <w:tc>
          <w:tcPr>
            <w:tcW w:w="4649" w:type="dxa"/>
          </w:tcPr>
          <w:p w14:paraId="4EFA5801" w14:textId="0D62D570"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Reasons justifying the incorporation or disincorporation of Safeguard Zones, which may include the following:</w:t>
            </w:r>
          </w:p>
        </w:tc>
      </w:tr>
      <w:tr w:rsidR="009849AC" w:rsidRPr="00C52435" w14:paraId="37CAE0A3" w14:textId="750EED7C" w:rsidTr="00F867DE">
        <w:tc>
          <w:tcPr>
            <w:tcW w:w="4711" w:type="dxa"/>
          </w:tcPr>
          <w:p w14:paraId="28509E0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Administración eficiente de los recursos del subsuelo en el tiempo y cumplimiento de la política pública en materia energética;</w:t>
            </w:r>
          </w:p>
        </w:tc>
        <w:tc>
          <w:tcPr>
            <w:tcW w:w="4649" w:type="dxa"/>
          </w:tcPr>
          <w:p w14:paraId="58B9A70E" w14:textId="23A2D03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Efficient management of subsoil resources over time and compliance with public policy on energy;</w:t>
            </w:r>
          </w:p>
        </w:tc>
      </w:tr>
      <w:tr w:rsidR="009849AC" w:rsidRPr="00C52435" w14:paraId="336F110C" w14:textId="654AAB69" w:rsidTr="00F867DE">
        <w:tc>
          <w:tcPr>
            <w:tcW w:w="4711" w:type="dxa"/>
          </w:tcPr>
          <w:p w14:paraId="7D18973E"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Evaluación de la disponibilidad de tecnología para la eficiente Extracción de Hidrocarburos, y</w:t>
            </w:r>
          </w:p>
        </w:tc>
        <w:tc>
          <w:tcPr>
            <w:tcW w:w="4649" w:type="dxa"/>
          </w:tcPr>
          <w:p w14:paraId="7C9EC77D" w14:textId="410869C8"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Evaluation of the availability of technology for the efficient extraction of hydrocarbons, and</w:t>
            </w:r>
          </w:p>
        </w:tc>
      </w:tr>
      <w:tr w:rsidR="009849AC" w:rsidRPr="00C52435" w14:paraId="2AD233F6" w14:textId="7257F946" w:rsidTr="00F867DE">
        <w:tc>
          <w:tcPr>
            <w:tcW w:w="4711" w:type="dxa"/>
          </w:tcPr>
          <w:p w14:paraId="46EDC603"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Cumplimiento con la política económica, social, cultural y ambiental, y</w:t>
            </w:r>
          </w:p>
        </w:tc>
        <w:tc>
          <w:tcPr>
            <w:tcW w:w="4649" w:type="dxa"/>
          </w:tcPr>
          <w:p w14:paraId="3402DDCE" w14:textId="5CBCA5C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Compliance with economic, social, cultural and environmental policy, and</w:t>
            </w:r>
          </w:p>
        </w:tc>
      </w:tr>
      <w:tr w:rsidR="009849AC" w:rsidRPr="00C52435" w14:paraId="38640FE9" w14:textId="6D03E68C" w:rsidTr="00F867DE">
        <w:tc>
          <w:tcPr>
            <w:tcW w:w="4711" w:type="dxa"/>
          </w:tcPr>
          <w:p w14:paraId="5D203A29"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Las demás que se prevean en la Normatividad aplicable.</w:t>
            </w:r>
          </w:p>
        </w:tc>
        <w:tc>
          <w:tcPr>
            <w:tcW w:w="4649" w:type="dxa"/>
          </w:tcPr>
          <w:p w14:paraId="49B08A56" w14:textId="107A547C"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Others provided for in the applicable legislation.</w:t>
            </w:r>
          </w:p>
        </w:tc>
      </w:tr>
      <w:tr w:rsidR="009849AC" w:rsidRPr="00C52435" w14:paraId="67FDEFAF" w14:textId="14B7DA4A" w:rsidTr="00F867DE">
        <w:tc>
          <w:tcPr>
            <w:tcW w:w="4711" w:type="dxa"/>
          </w:tcPr>
          <w:p w14:paraId="71C32F63"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En las Zonas de Salvaguarda únicamente se pueden realizar actividades de Reconocimiento y Exploración Superficial, previa autorización de la Secretaría, en los términos de la Ley, el Capítulo I del Título Segundo de este reglamento y demás Normatividad aplicable.</w:t>
            </w:r>
          </w:p>
        </w:tc>
        <w:tc>
          <w:tcPr>
            <w:tcW w:w="4649" w:type="dxa"/>
          </w:tcPr>
          <w:p w14:paraId="6C3E0293" w14:textId="3D8D4CE9"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In the Safeguard Zones, only surface reconnaissance and exploration activities may be carried out with prior authorization from the Secretary, in accordance with the terms of the Law, Chapter I of the Second Title of this regulation and other applicable legislation.</w:t>
            </w:r>
          </w:p>
        </w:tc>
      </w:tr>
      <w:tr w:rsidR="009849AC" w:rsidRPr="00D0180E" w14:paraId="395E1ADE" w14:textId="21F5BC5D" w:rsidTr="00F867DE">
        <w:tc>
          <w:tcPr>
            <w:tcW w:w="4711" w:type="dxa"/>
          </w:tcPr>
          <w:p w14:paraId="13E0FD32"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Capítulo VIII</w:t>
            </w:r>
          </w:p>
        </w:tc>
        <w:tc>
          <w:tcPr>
            <w:tcW w:w="4649" w:type="dxa"/>
          </w:tcPr>
          <w:p w14:paraId="6B47F21B" w14:textId="04FE5614"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VIII</w:t>
            </w:r>
          </w:p>
        </w:tc>
      </w:tr>
      <w:tr w:rsidR="009849AC" w:rsidRPr="00C52435" w14:paraId="3991C950" w14:textId="421FEA19" w:rsidTr="00F867DE">
        <w:tc>
          <w:tcPr>
            <w:tcW w:w="4711" w:type="dxa"/>
          </w:tcPr>
          <w:p w14:paraId="6A3976DC"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 la Unificación de Campos o Yacimientos Compartidos</w:t>
            </w:r>
          </w:p>
        </w:tc>
        <w:tc>
          <w:tcPr>
            <w:tcW w:w="4649" w:type="dxa"/>
          </w:tcPr>
          <w:p w14:paraId="5D649753" w14:textId="70CC6593"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Unification of Shared Fields or Deposits</w:t>
            </w:r>
          </w:p>
        </w:tc>
      </w:tr>
      <w:tr w:rsidR="009849AC" w:rsidRPr="00C52435" w14:paraId="6D4290B1" w14:textId="770E279C" w:rsidTr="00F867DE">
        <w:tc>
          <w:tcPr>
            <w:tcW w:w="4711" w:type="dxa"/>
          </w:tcPr>
          <w:p w14:paraId="28E4D16A"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Artículo 78.</w:t>
            </w:r>
            <w:r w:rsidRPr="00837D4A">
              <w:rPr>
                <w:rFonts w:ascii="Verdana" w:hAnsi="Verdana"/>
                <w:sz w:val="16"/>
                <w:szCs w:val="16"/>
              </w:rPr>
              <w:t xml:space="preserve"> La Unificación de campos o yacimientos compartidos se debe realizar conforme a la Ley, este reglamento y la Normatividad que emita la Secretaría.</w:t>
            </w:r>
          </w:p>
        </w:tc>
        <w:tc>
          <w:tcPr>
            <w:tcW w:w="4649" w:type="dxa"/>
          </w:tcPr>
          <w:p w14:paraId="7512916A" w14:textId="3C5AB4E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78. </w:t>
            </w:r>
            <w:r w:rsidRPr="00837D4A">
              <w:rPr>
                <w:rFonts w:ascii="Verdana" w:hAnsi="Verdana"/>
                <w:sz w:val="16"/>
                <w:szCs w:val="16"/>
                <w:lang w:val="en-US"/>
              </w:rPr>
              <w:t>The unification of shared fields or deposits must be carried out in accordance with the Law, this regulation and the Legislation issued by the Secretary.</w:t>
            </w:r>
          </w:p>
        </w:tc>
      </w:tr>
      <w:tr w:rsidR="009849AC" w:rsidRPr="00C52435" w14:paraId="341B22CD" w14:textId="6461988D" w:rsidTr="00F867DE">
        <w:tc>
          <w:tcPr>
            <w:tcW w:w="4711" w:type="dxa"/>
          </w:tcPr>
          <w:p w14:paraId="2DB5D78E"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persona Asignataria o Contratista deben dar aviso a la Secretaría sobre el descubrimiento de un campo o yacimiento compartido, en un plazo de sesenta días hábiles posteriores a que dicho evento ocurra, el cual debe contener al menos:</w:t>
            </w:r>
          </w:p>
        </w:tc>
        <w:tc>
          <w:tcPr>
            <w:tcW w:w="4649" w:type="dxa"/>
          </w:tcPr>
          <w:p w14:paraId="0F263B9B" w14:textId="12FBDAF1"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Assignee or Contractor must notify the Secretary of the discovery of a shared field or reservoir within sixty business days after said event occurs, which must contain at least:</w:t>
            </w:r>
          </w:p>
        </w:tc>
      </w:tr>
      <w:tr w:rsidR="009849AC" w:rsidRPr="00C52435" w14:paraId="3F1500D9" w14:textId="48C96FBE" w:rsidTr="00F867DE">
        <w:tc>
          <w:tcPr>
            <w:tcW w:w="4711" w:type="dxa"/>
          </w:tcPr>
          <w:p w14:paraId="1012DF81"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Formato autorizado debidamente requisitado con la siguiente información:</w:t>
            </w:r>
          </w:p>
        </w:tc>
        <w:tc>
          <w:tcPr>
            <w:tcW w:w="4649" w:type="dxa"/>
          </w:tcPr>
          <w:p w14:paraId="72D09BF8" w14:textId="4A066424"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Authorized form duly completed with the following information:</w:t>
            </w:r>
          </w:p>
        </w:tc>
      </w:tr>
      <w:tr w:rsidR="009849AC" w:rsidRPr="00C52435" w14:paraId="4120C67D" w14:textId="47FC7207" w:rsidTr="00F867DE">
        <w:tc>
          <w:tcPr>
            <w:tcW w:w="4711" w:type="dxa"/>
          </w:tcPr>
          <w:p w14:paraId="23CE6C63"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Las características generales del campo o yacimiento compartidos, y</w:t>
            </w:r>
          </w:p>
        </w:tc>
        <w:tc>
          <w:tcPr>
            <w:tcW w:w="4649" w:type="dxa"/>
          </w:tcPr>
          <w:p w14:paraId="3AAF56FA" w14:textId="723C905E"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The general characteristics of the shared field or reservoir, and</w:t>
            </w:r>
          </w:p>
        </w:tc>
      </w:tr>
      <w:tr w:rsidR="009849AC" w:rsidRPr="00C52435" w14:paraId="367CCA11" w14:textId="73A885E4" w:rsidTr="00F867DE">
        <w:tc>
          <w:tcPr>
            <w:tcW w:w="4711" w:type="dxa"/>
          </w:tcPr>
          <w:p w14:paraId="216B8FEA" w14:textId="77777777" w:rsidR="009849AC" w:rsidRPr="00837D4A" w:rsidRDefault="009849AC" w:rsidP="009849AC">
            <w:pPr>
              <w:pStyle w:val="Texto"/>
              <w:spacing w:after="96"/>
              <w:ind w:firstLine="0"/>
              <w:rPr>
                <w:rFonts w:ascii="Verdana" w:hAnsi="Verdana"/>
                <w:b/>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La identificación de las Asignaciones o Contratos involucrados;</w:t>
            </w:r>
          </w:p>
        </w:tc>
        <w:tc>
          <w:tcPr>
            <w:tcW w:w="4649" w:type="dxa"/>
          </w:tcPr>
          <w:p w14:paraId="23256A33" w14:textId="187B5771"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The identification of the Assignments or Contracts involved;</w:t>
            </w:r>
          </w:p>
        </w:tc>
      </w:tr>
      <w:tr w:rsidR="009849AC" w:rsidRPr="00C52435" w14:paraId="56F1BE1E" w14:textId="6D67EF6E" w:rsidTr="00F867DE">
        <w:tc>
          <w:tcPr>
            <w:tcW w:w="4711" w:type="dxa"/>
          </w:tcPr>
          <w:p w14:paraId="6C60C1A5"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Los estudios y análisis técnicos con los que se infiera la existencia y extensión de un campo o yacimiento compartidos, con los que se defina la comunicación hidráulica vertical u horizontal de los mismos, incluyendo la información geográfica del campo o yacimiento;</w:t>
            </w:r>
          </w:p>
        </w:tc>
        <w:tc>
          <w:tcPr>
            <w:tcW w:w="4649" w:type="dxa"/>
          </w:tcPr>
          <w:p w14:paraId="4759450C" w14:textId="4ED6561A"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Technical studies and analyses that infer the existence and extent of a shared field or reservoir, which define the vertical or horizontal hydraulic communication thereof, including geographic information about the field or reservoir;</w:t>
            </w:r>
          </w:p>
        </w:tc>
      </w:tr>
      <w:tr w:rsidR="009849AC" w:rsidRPr="00C52435" w14:paraId="034C8251" w14:textId="46BAC163" w:rsidTr="00F867DE">
        <w:tc>
          <w:tcPr>
            <w:tcW w:w="4711" w:type="dxa"/>
          </w:tcPr>
          <w:p w14:paraId="13176363"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 información adicional que la persona Asignataria o Contratista consideren pertinente, y</w:t>
            </w:r>
          </w:p>
        </w:tc>
        <w:tc>
          <w:tcPr>
            <w:tcW w:w="4649" w:type="dxa"/>
          </w:tcPr>
          <w:p w14:paraId="0599DF9D" w14:textId="0FB20B4D"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Additional information that the Assignee or Contractor considers relevant, and</w:t>
            </w:r>
          </w:p>
        </w:tc>
      </w:tr>
      <w:tr w:rsidR="009849AC" w:rsidRPr="00C52435" w14:paraId="35E829DE" w14:textId="7B244C0B" w:rsidTr="00F867DE">
        <w:tc>
          <w:tcPr>
            <w:tcW w:w="4711" w:type="dxa"/>
          </w:tcPr>
          <w:p w14:paraId="29301D7E"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Las demás que se prevean en la Normatividad aplicable.</w:t>
            </w:r>
          </w:p>
        </w:tc>
        <w:tc>
          <w:tcPr>
            <w:tcW w:w="4649" w:type="dxa"/>
          </w:tcPr>
          <w:p w14:paraId="3A86432C" w14:textId="56EAFE83"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Any others provided for in the applicable legislation.</w:t>
            </w:r>
          </w:p>
        </w:tc>
      </w:tr>
      <w:tr w:rsidR="009849AC" w:rsidRPr="00C52435" w14:paraId="213E227A" w14:textId="4BCBCE84" w:rsidTr="00F867DE">
        <w:tc>
          <w:tcPr>
            <w:tcW w:w="4711" w:type="dxa"/>
          </w:tcPr>
          <w:p w14:paraId="269AF1E2"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lastRenderedPageBreak/>
              <w:t>Artículo 79.</w:t>
            </w:r>
            <w:r w:rsidRPr="00837D4A">
              <w:rPr>
                <w:rFonts w:ascii="Verdana" w:hAnsi="Verdana"/>
                <w:sz w:val="16"/>
                <w:szCs w:val="16"/>
              </w:rPr>
              <w:t xml:space="preserve"> Una vez recibido el aviso a que se refiere el artículo anterior, la Secretaría, con base en la información recibida, debe determinar la posible existencia de un campo o un yacimiento compartido, en cuyo caso debe instruir la Unificación de los campos o yacimientos que correspondan.</w:t>
            </w:r>
          </w:p>
        </w:tc>
        <w:tc>
          <w:tcPr>
            <w:tcW w:w="4649" w:type="dxa"/>
          </w:tcPr>
          <w:p w14:paraId="64BE8E7E" w14:textId="1FCF6512"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Article 79. </w:t>
            </w:r>
            <w:r w:rsidRPr="00837D4A">
              <w:rPr>
                <w:rFonts w:ascii="Verdana" w:hAnsi="Verdana"/>
                <w:sz w:val="16"/>
                <w:szCs w:val="16"/>
                <w:lang w:val="en-US"/>
              </w:rPr>
              <w:t>Once the notice referred to in the preceding article has been received, the Secretary, based on the information received, must determine the possible existence of a shared field or reservoir, in which case it must instruct the unification of the corresponding fields or reservoirs.</w:t>
            </w:r>
          </w:p>
        </w:tc>
      </w:tr>
      <w:tr w:rsidR="009849AC" w:rsidRPr="00C52435" w14:paraId="66E75564" w14:textId="7D6D713B" w:rsidTr="00F867DE">
        <w:tc>
          <w:tcPr>
            <w:tcW w:w="4711" w:type="dxa"/>
          </w:tcPr>
          <w:p w14:paraId="67BD5EB6"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Cuando el campo o yacimiento compartido se localice en su totalidad en áreas en las que se encuentren Asignaciones vigentes o Contratos para la Exploración y Extracción suscritos, la Secretaría debe solicitar a la persona Asignataria o Contratista según corresponda, que presenten conjuntamente su propuesta de acuerdo de Unificación, la cual debe contener al menos:</w:t>
            </w:r>
          </w:p>
        </w:tc>
        <w:tc>
          <w:tcPr>
            <w:tcW w:w="4649" w:type="dxa"/>
          </w:tcPr>
          <w:p w14:paraId="6A9DCF21" w14:textId="0C5EA8C9"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When the shared field or reservoir is located entirely in areas where there are current Assignments or signed Exploration and Extraction Contracts, the Secretary must request the Assignee or Contractor, as appropriate, to jointly submit their proposed Unification agreement, which must contain at least:</w:t>
            </w:r>
          </w:p>
        </w:tc>
      </w:tr>
      <w:tr w:rsidR="009849AC" w:rsidRPr="00C52435" w14:paraId="178490B7" w14:textId="43201801" w:rsidTr="00F867DE">
        <w:tc>
          <w:tcPr>
            <w:tcW w:w="4711" w:type="dxa"/>
          </w:tcPr>
          <w:p w14:paraId="53C3BF09"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identificación del área unificada;</w:t>
            </w:r>
          </w:p>
        </w:tc>
        <w:tc>
          <w:tcPr>
            <w:tcW w:w="4649" w:type="dxa"/>
          </w:tcPr>
          <w:p w14:paraId="4145B13C" w14:textId="0AA9C84D"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identification of the unified area;</w:t>
            </w:r>
          </w:p>
        </w:tc>
      </w:tr>
      <w:tr w:rsidR="009849AC" w:rsidRPr="00C52435" w14:paraId="36D74CBB" w14:textId="29AD2097" w:rsidTr="00F867DE">
        <w:tc>
          <w:tcPr>
            <w:tcW w:w="4711" w:type="dxa"/>
          </w:tcPr>
          <w:p w14:paraId="53B08B28"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identificación de la persona Asignataria o Contratista involucrada;</w:t>
            </w:r>
          </w:p>
        </w:tc>
        <w:tc>
          <w:tcPr>
            <w:tcW w:w="4649" w:type="dxa"/>
          </w:tcPr>
          <w:p w14:paraId="71C819DE" w14:textId="2E75ED18"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identification of the Assignee or Contractor involved;</w:t>
            </w:r>
          </w:p>
        </w:tc>
      </w:tr>
      <w:tr w:rsidR="009849AC" w:rsidRPr="00C52435" w14:paraId="403B8CFD" w14:textId="249551C3" w:rsidTr="00F867DE">
        <w:tc>
          <w:tcPr>
            <w:tcW w:w="4711" w:type="dxa"/>
          </w:tcPr>
          <w:p w14:paraId="7CA77B8B"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 designación del operador para el área unificada;</w:t>
            </w:r>
          </w:p>
        </w:tc>
        <w:tc>
          <w:tcPr>
            <w:tcW w:w="4649" w:type="dxa"/>
          </w:tcPr>
          <w:p w14:paraId="0F6E5FEA" w14:textId="7D157141"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designation of the operator for the unified area;</w:t>
            </w:r>
          </w:p>
        </w:tc>
      </w:tr>
      <w:tr w:rsidR="009849AC" w:rsidRPr="00C52435" w14:paraId="607545BA" w14:textId="18623EB8" w:rsidTr="00F867DE">
        <w:tc>
          <w:tcPr>
            <w:tcW w:w="4711" w:type="dxa"/>
          </w:tcPr>
          <w:p w14:paraId="479CABBD"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propuesta de operación del área unificada;</w:t>
            </w:r>
          </w:p>
        </w:tc>
        <w:tc>
          <w:tcPr>
            <w:tcW w:w="4649" w:type="dxa"/>
          </w:tcPr>
          <w:p w14:paraId="0C0CE0DA" w14:textId="3AA6CC04"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proposal for the operation of the unified area;</w:t>
            </w:r>
          </w:p>
        </w:tc>
      </w:tr>
      <w:tr w:rsidR="009849AC" w:rsidRPr="00C52435" w14:paraId="53FC7ACB" w14:textId="651AD406" w:rsidTr="00F867DE">
        <w:tc>
          <w:tcPr>
            <w:tcW w:w="4711" w:type="dxa"/>
          </w:tcPr>
          <w:p w14:paraId="0E00E922"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 determinación de la distribución inicial de la producción entre las partes;</w:t>
            </w:r>
          </w:p>
        </w:tc>
        <w:tc>
          <w:tcPr>
            <w:tcW w:w="4649" w:type="dxa"/>
          </w:tcPr>
          <w:p w14:paraId="5144D94C" w14:textId="2BED839B"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determination of the initial distribution of production between the parties;</w:t>
            </w:r>
          </w:p>
        </w:tc>
      </w:tr>
      <w:tr w:rsidR="009849AC" w:rsidRPr="00C52435" w14:paraId="4316AAC9" w14:textId="595120C2" w:rsidTr="00F867DE">
        <w:tc>
          <w:tcPr>
            <w:tcW w:w="4711" w:type="dxa"/>
          </w:tcPr>
          <w:p w14:paraId="17FF957D"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 xml:space="preserve">Los procedimientos para la </w:t>
            </w:r>
            <w:proofErr w:type="spellStart"/>
            <w:r w:rsidRPr="00837D4A">
              <w:rPr>
                <w:rFonts w:ascii="Verdana" w:hAnsi="Verdana"/>
                <w:sz w:val="16"/>
                <w:szCs w:val="16"/>
              </w:rPr>
              <w:t>redeterminación</w:t>
            </w:r>
            <w:proofErr w:type="spellEnd"/>
            <w:r w:rsidRPr="00837D4A">
              <w:rPr>
                <w:rFonts w:ascii="Verdana" w:hAnsi="Verdana"/>
                <w:sz w:val="16"/>
                <w:szCs w:val="16"/>
              </w:rPr>
              <w:t xml:space="preserve"> de la distribución de la producción, un calendario y una descripción de los eventos que desencadenan la </w:t>
            </w:r>
            <w:proofErr w:type="spellStart"/>
            <w:r w:rsidRPr="00837D4A">
              <w:rPr>
                <w:rFonts w:ascii="Verdana" w:hAnsi="Verdana"/>
                <w:sz w:val="16"/>
                <w:szCs w:val="16"/>
              </w:rPr>
              <w:t>redeterminación</w:t>
            </w:r>
            <w:proofErr w:type="spellEnd"/>
            <w:r w:rsidRPr="00837D4A">
              <w:rPr>
                <w:rFonts w:ascii="Verdana" w:hAnsi="Verdana"/>
                <w:sz w:val="16"/>
                <w:szCs w:val="16"/>
              </w:rPr>
              <w:t>, y</w:t>
            </w:r>
          </w:p>
        </w:tc>
        <w:tc>
          <w:tcPr>
            <w:tcW w:w="4649" w:type="dxa"/>
          </w:tcPr>
          <w:p w14:paraId="18629EC0" w14:textId="51DE9618"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Procedures for the redetermination of the distribution of production, a timetable and a description of the events that trigger the redetermination, and</w:t>
            </w:r>
          </w:p>
        </w:tc>
      </w:tr>
      <w:tr w:rsidR="009849AC" w:rsidRPr="00C52435" w14:paraId="18E19BDB" w14:textId="1A70F149" w:rsidTr="00F867DE">
        <w:tc>
          <w:tcPr>
            <w:tcW w:w="4711" w:type="dxa"/>
          </w:tcPr>
          <w:p w14:paraId="57A2BAB5"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Los demás que determine la Secretaría en la Normatividad aplicable.</w:t>
            </w:r>
          </w:p>
        </w:tc>
        <w:tc>
          <w:tcPr>
            <w:tcW w:w="4649" w:type="dxa"/>
          </w:tcPr>
          <w:p w14:paraId="79E54692" w14:textId="075B7D51"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Others determined by the Secretary in the applicable legislation.</w:t>
            </w:r>
          </w:p>
        </w:tc>
      </w:tr>
      <w:tr w:rsidR="009849AC" w:rsidRPr="00C52435" w14:paraId="7B12217D" w14:textId="6BD1530F" w:rsidTr="00F867DE">
        <w:tc>
          <w:tcPr>
            <w:tcW w:w="4711" w:type="dxa"/>
          </w:tcPr>
          <w:p w14:paraId="2224DBD4"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Una vez que se cuente con toda la información, la Secretaría debe determinar la procedencia del acuerdo de Unificación en un plazo no mayor a noventa días hábiles.</w:t>
            </w:r>
          </w:p>
        </w:tc>
        <w:tc>
          <w:tcPr>
            <w:tcW w:w="4649" w:type="dxa"/>
          </w:tcPr>
          <w:p w14:paraId="586C68C0" w14:textId="7A701FD2"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Once all the information is available, the Secretary must determine the appropriateness of the Unification Agreement within a period of no more than ninety business days.</w:t>
            </w:r>
          </w:p>
        </w:tc>
      </w:tr>
      <w:tr w:rsidR="009849AC" w:rsidRPr="00C52435" w14:paraId="4CF7FCF0" w14:textId="51FB62CB" w:rsidTr="00F867DE">
        <w:tc>
          <w:tcPr>
            <w:tcW w:w="4711" w:type="dxa"/>
          </w:tcPr>
          <w:p w14:paraId="019BB193"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 xml:space="preserve">Artículo 80. </w:t>
            </w:r>
            <w:r w:rsidRPr="00837D4A">
              <w:rPr>
                <w:rFonts w:ascii="Verdana" w:hAnsi="Verdana"/>
                <w:sz w:val="16"/>
                <w:szCs w:val="16"/>
              </w:rPr>
              <w:t>La Secretaría cuenta con un plazo de veinte días hábiles para notificar a la persona Asignataria o Contratista su determinación respecto de la procedencia de la propuesta de acuerdo de Unificación.</w:t>
            </w:r>
          </w:p>
        </w:tc>
        <w:tc>
          <w:tcPr>
            <w:tcW w:w="4649" w:type="dxa"/>
          </w:tcPr>
          <w:p w14:paraId="3409E5CE" w14:textId="592A0D03"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Article 80. </w:t>
            </w:r>
            <w:r w:rsidRPr="00837D4A">
              <w:rPr>
                <w:rFonts w:ascii="Verdana" w:hAnsi="Verdana"/>
                <w:sz w:val="16"/>
                <w:szCs w:val="16"/>
                <w:lang w:val="en-US"/>
              </w:rPr>
              <w:t>The Secretary has a period of twenty business days to notify the Assignee or Contractor of the determination regarding the appropriateness of the proposed unification agreement.</w:t>
            </w:r>
          </w:p>
        </w:tc>
      </w:tr>
      <w:tr w:rsidR="009849AC" w:rsidRPr="00C52435" w14:paraId="441A80F6" w14:textId="7AC1E46D" w:rsidTr="00F867DE">
        <w:tc>
          <w:tcPr>
            <w:tcW w:w="4711" w:type="dxa"/>
          </w:tcPr>
          <w:p w14:paraId="60AF674B"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En caso de que sea necesario adecuar la propuesta de acuerdo presentada, la Secretaría debe notificar a la persona Asignataria o Contratista las observaciones correspondientes para que en un plazo no mayor a diez días hábiles atiendan las observaciones, en cuyo caso, el transcurso del plazo de veinte días hábiles queda suspendido hasta en tanto se presenta una propuesta de acuerdo de Unificación que incluya la atención de las observaciones realizadas por la Secretaría, dentro del plazo otorgado para tal efecto.</w:t>
            </w:r>
          </w:p>
        </w:tc>
        <w:tc>
          <w:tcPr>
            <w:tcW w:w="4649" w:type="dxa"/>
          </w:tcPr>
          <w:p w14:paraId="7B652C92" w14:textId="2CB5E16C"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In the event that it is necessary to adjust the proposed agreement submitted, the Secretary must notify the Assignee or Contractor of the corresponding observations so that they may address the observations within a period of no more than ten business days. In this case, the twenty business day period is suspended until a proposed unification agreement is submitted that includes addressing the observations made by the Secretary, within the period granted for this purpose.</w:t>
            </w:r>
          </w:p>
        </w:tc>
      </w:tr>
      <w:tr w:rsidR="009849AC" w:rsidRPr="00C52435" w14:paraId="66F8B9C9" w14:textId="736BCA5B" w:rsidTr="00F867DE">
        <w:tc>
          <w:tcPr>
            <w:tcW w:w="4711" w:type="dxa"/>
          </w:tcPr>
          <w:p w14:paraId="47D2399B"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Si la persona Asignataria o Contratista no alcanzan un acuerdo, la Secretaría debe determinar los términos bajo los que se lleve a cabo la Unificación.</w:t>
            </w:r>
          </w:p>
        </w:tc>
        <w:tc>
          <w:tcPr>
            <w:tcW w:w="4649" w:type="dxa"/>
          </w:tcPr>
          <w:p w14:paraId="093F05DD" w14:textId="0DA1C475"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t>If the Assignee or Contractor fail to reach an agreement, the Secretary shall determine the terms under which the unification will be carried out.</w:t>
            </w:r>
          </w:p>
        </w:tc>
      </w:tr>
      <w:tr w:rsidR="009849AC" w:rsidRPr="00C52435" w14:paraId="5EA2BE1F" w14:textId="51D0AC0D" w:rsidTr="00F867DE">
        <w:tc>
          <w:tcPr>
            <w:tcW w:w="4711" w:type="dxa"/>
          </w:tcPr>
          <w:p w14:paraId="6EFC42FC"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sz w:val="16"/>
                <w:szCs w:val="16"/>
              </w:rPr>
              <w:t xml:space="preserve">La Secretaría debe notificar a la Secretaría de Hacienda y Crédito Público y al Fondo Mexicano del Petróleo sobre </w:t>
            </w:r>
            <w:r w:rsidRPr="00837D4A">
              <w:rPr>
                <w:rFonts w:ascii="Verdana" w:hAnsi="Verdana"/>
                <w:sz w:val="16"/>
                <w:szCs w:val="16"/>
              </w:rPr>
              <w:lastRenderedPageBreak/>
              <w:t>los términos de Unificación definitivos, dentro de los cinco días hábiles siguientes a que esta se haga efectiva.</w:t>
            </w:r>
          </w:p>
        </w:tc>
        <w:tc>
          <w:tcPr>
            <w:tcW w:w="4649" w:type="dxa"/>
          </w:tcPr>
          <w:p w14:paraId="4D65547A" w14:textId="50813807" w:rsidR="009849AC" w:rsidRPr="00837D4A" w:rsidRDefault="009849AC" w:rsidP="009849AC">
            <w:pPr>
              <w:pStyle w:val="Texto"/>
              <w:spacing w:after="96"/>
              <w:ind w:firstLine="0"/>
              <w:rPr>
                <w:rFonts w:ascii="Verdana" w:hAnsi="Verdana"/>
                <w:sz w:val="16"/>
                <w:szCs w:val="16"/>
                <w:lang w:val="en-US"/>
              </w:rPr>
            </w:pPr>
            <w:r w:rsidRPr="00837D4A">
              <w:rPr>
                <w:rFonts w:ascii="Verdana" w:hAnsi="Verdana"/>
                <w:sz w:val="16"/>
                <w:szCs w:val="16"/>
                <w:lang w:val="en-US"/>
              </w:rPr>
              <w:lastRenderedPageBreak/>
              <w:t xml:space="preserve">The Secretary must notify the Secretary of Finance and Public Credit and the Mexican Petroleum Fund of the </w:t>
            </w:r>
            <w:r w:rsidRPr="00837D4A">
              <w:rPr>
                <w:rFonts w:ascii="Verdana" w:hAnsi="Verdana"/>
                <w:sz w:val="16"/>
                <w:szCs w:val="16"/>
                <w:lang w:val="en-US"/>
              </w:rPr>
              <w:lastRenderedPageBreak/>
              <w:t>final terms of the unification within five business days of its effective date.</w:t>
            </w:r>
          </w:p>
        </w:tc>
      </w:tr>
      <w:tr w:rsidR="009849AC" w:rsidRPr="00C52435" w14:paraId="43525A14" w14:textId="4366996C" w:rsidTr="00F867DE">
        <w:tc>
          <w:tcPr>
            <w:tcW w:w="4711" w:type="dxa"/>
          </w:tcPr>
          <w:p w14:paraId="24649FC7"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lastRenderedPageBreak/>
              <w:t>Artículo 81.</w:t>
            </w:r>
            <w:r w:rsidRPr="00837D4A">
              <w:rPr>
                <w:rFonts w:ascii="Verdana" w:hAnsi="Verdana"/>
                <w:sz w:val="16"/>
                <w:szCs w:val="16"/>
              </w:rPr>
              <w:t xml:space="preserve"> En caso de que el campo o yacimiento compartido se localice en un área en la que no se encuentre vigente una Asignación o un Contrato para la Exploración y Extracción, la persona Asignataria o Contratista involucradas deben continuar con sus actividades de Exploración y Extracción, notificar y presentar a la Secretaría la información a que se refiere el artículo 79, fracciones I, IV, VI y VII de este reglamento.</w:t>
            </w:r>
          </w:p>
        </w:tc>
        <w:tc>
          <w:tcPr>
            <w:tcW w:w="4649" w:type="dxa"/>
          </w:tcPr>
          <w:p w14:paraId="52189A8D" w14:textId="76489D64"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Article 81. </w:t>
            </w:r>
            <w:r w:rsidRPr="00837D4A">
              <w:rPr>
                <w:rFonts w:ascii="Verdana" w:hAnsi="Verdana"/>
                <w:sz w:val="16"/>
                <w:szCs w:val="16"/>
                <w:lang w:val="en-US"/>
              </w:rPr>
              <w:t>In the event that the shared field or reservoir is located in an area where there is no current Assignment or Contract for Exploration and Extraction, the Assignee or Contractor involved must continue with their Exploration and Extraction activities, notify and submit to the Secretary the information referred to in Article 79, Sections I, IV, VI and VII of this regulation.</w:t>
            </w:r>
          </w:p>
        </w:tc>
      </w:tr>
      <w:tr w:rsidR="009849AC" w:rsidRPr="00D0180E" w14:paraId="16ADAD4C" w14:textId="14EDF6A8" w:rsidTr="00F867DE">
        <w:tc>
          <w:tcPr>
            <w:tcW w:w="4711" w:type="dxa"/>
          </w:tcPr>
          <w:p w14:paraId="4956815D" w14:textId="77777777" w:rsidR="009849AC" w:rsidRPr="00837D4A" w:rsidRDefault="009849AC" w:rsidP="009849AC">
            <w:pPr>
              <w:pStyle w:val="Texto"/>
              <w:spacing w:after="96"/>
              <w:ind w:firstLine="0"/>
              <w:jc w:val="center"/>
              <w:rPr>
                <w:rFonts w:ascii="Verdana" w:hAnsi="Verdana"/>
                <w:b/>
                <w:sz w:val="16"/>
                <w:szCs w:val="16"/>
              </w:rPr>
            </w:pPr>
            <w:r w:rsidRPr="00837D4A">
              <w:rPr>
                <w:rFonts w:ascii="Verdana" w:hAnsi="Verdana"/>
                <w:b/>
                <w:sz w:val="16"/>
                <w:szCs w:val="16"/>
              </w:rPr>
              <w:t>Capítulo IX</w:t>
            </w:r>
          </w:p>
        </w:tc>
        <w:tc>
          <w:tcPr>
            <w:tcW w:w="4649" w:type="dxa"/>
          </w:tcPr>
          <w:p w14:paraId="081C3FEF" w14:textId="27BA3A22" w:rsidR="009849AC" w:rsidRPr="00837D4A" w:rsidRDefault="009849AC" w:rsidP="009849AC">
            <w:pPr>
              <w:pStyle w:val="Texto"/>
              <w:spacing w:after="96"/>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IX</w:t>
            </w:r>
          </w:p>
        </w:tc>
      </w:tr>
      <w:tr w:rsidR="009849AC" w:rsidRPr="00C52435" w14:paraId="200B50C5" w14:textId="3ECD7071" w:rsidTr="00F867DE">
        <w:tc>
          <w:tcPr>
            <w:tcW w:w="4711" w:type="dxa"/>
          </w:tcPr>
          <w:p w14:paraId="1FDDEE4A" w14:textId="77777777" w:rsidR="009849AC" w:rsidRPr="00837D4A" w:rsidRDefault="009849AC" w:rsidP="009849AC">
            <w:pPr>
              <w:pStyle w:val="Texto"/>
              <w:spacing w:after="96"/>
              <w:ind w:firstLine="0"/>
              <w:jc w:val="center"/>
              <w:rPr>
                <w:rFonts w:ascii="Verdana" w:hAnsi="Verdana"/>
                <w:b/>
                <w:sz w:val="16"/>
                <w:szCs w:val="16"/>
              </w:rPr>
            </w:pPr>
            <w:r w:rsidRPr="00837D4A">
              <w:rPr>
                <w:rFonts w:ascii="Verdana" w:hAnsi="Verdana"/>
                <w:b/>
                <w:sz w:val="16"/>
                <w:szCs w:val="16"/>
              </w:rPr>
              <w:t>De las Autorizaciones de los Pozos y de los Pozos Inviables</w:t>
            </w:r>
          </w:p>
        </w:tc>
        <w:tc>
          <w:tcPr>
            <w:tcW w:w="4649" w:type="dxa"/>
          </w:tcPr>
          <w:p w14:paraId="6A5F76DD" w14:textId="084F37A4" w:rsidR="009849AC" w:rsidRPr="00837D4A" w:rsidRDefault="009849AC" w:rsidP="009849AC">
            <w:pPr>
              <w:pStyle w:val="Texto"/>
              <w:spacing w:after="96"/>
              <w:ind w:firstLine="0"/>
              <w:jc w:val="center"/>
              <w:rPr>
                <w:rFonts w:ascii="Verdana" w:hAnsi="Verdana"/>
                <w:b/>
                <w:sz w:val="16"/>
                <w:szCs w:val="16"/>
                <w:lang w:val="en-US"/>
              </w:rPr>
            </w:pPr>
            <w:r w:rsidRPr="00837D4A">
              <w:rPr>
                <w:rFonts w:ascii="Verdana" w:hAnsi="Verdana"/>
                <w:b/>
                <w:sz w:val="16"/>
                <w:szCs w:val="16"/>
                <w:lang w:val="en-US"/>
              </w:rPr>
              <w:t>Authorizations of Wells and Unviable Wells</w:t>
            </w:r>
          </w:p>
        </w:tc>
      </w:tr>
      <w:tr w:rsidR="009849AC" w:rsidRPr="00C52435" w14:paraId="740E9729" w14:textId="6B5FF7FD" w:rsidTr="00F867DE">
        <w:tc>
          <w:tcPr>
            <w:tcW w:w="4711" w:type="dxa"/>
          </w:tcPr>
          <w:p w14:paraId="6D265EC5" w14:textId="77777777" w:rsidR="009849AC" w:rsidRPr="00837D4A" w:rsidRDefault="009849AC" w:rsidP="009849AC">
            <w:pPr>
              <w:pStyle w:val="Texto"/>
              <w:spacing w:after="96"/>
              <w:ind w:firstLine="0"/>
              <w:rPr>
                <w:rFonts w:ascii="Verdana" w:hAnsi="Verdana"/>
                <w:sz w:val="16"/>
                <w:szCs w:val="16"/>
              </w:rPr>
            </w:pPr>
            <w:r w:rsidRPr="00837D4A">
              <w:rPr>
                <w:rFonts w:ascii="Verdana" w:hAnsi="Verdana"/>
                <w:b/>
                <w:sz w:val="16"/>
                <w:szCs w:val="16"/>
              </w:rPr>
              <w:t xml:space="preserve">Artículo 82. </w:t>
            </w:r>
            <w:r w:rsidRPr="00837D4A">
              <w:rPr>
                <w:rFonts w:ascii="Verdana" w:hAnsi="Verdana"/>
                <w:sz w:val="16"/>
                <w:szCs w:val="16"/>
              </w:rPr>
              <w:t>Por lo que respecta a las autorizaciones a que hace referencia el artículo 64, párrafo primero de la Ley, la persona Asignataria o Contratista debe notificar a la Secretaría, conforme a la Normatividad aplicable, posterior a la ocurrencia de cambios operativos, entre otros, los siguientes:</w:t>
            </w:r>
          </w:p>
        </w:tc>
        <w:tc>
          <w:tcPr>
            <w:tcW w:w="4649" w:type="dxa"/>
          </w:tcPr>
          <w:p w14:paraId="5BB9A0D7" w14:textId="37A737A2" w:rsidR="009849AC" w:rsidRPr="00837D4A" w:rsidRDefault="009849AC" w:rsidP="009849AC">
            <w:pPr>
              <w:pStyle w:val="Texto"/>
              <w:spacing w:after="96"/>
              <w:ind w:firstLine="0"/>
              <w:rPr>
                <w:rFonts w:ascii="Verdana" w:hAnsi="Verdana"/>
                <w:b/>
                <w:sz w:val="16"/>
                <w:szCs w:val="16"/>
                <w:lang w:val="en-US"/>
              </w:rPr>
            </w:pPr>
            <w:r w:rsidRPr="00837D4A">
              <w:rPr>
                <w:rFonts w:ascii="Verdana" w:hAnsi="Verdana"/>
                <w:b/>
                <w:sz w:val="16"/>
                <w:szCs w:val="16"/>
                <w:lang w:val="en-US"/>
              </w:rPr>
              <w:t xml:space="preserve">Article 82. </w:t>
            </w:r>
            <w:r w:rsidRPr="00837D4A">
              <w:rPr>
                <w:rFonts w:ascii="Verdana" w:hAnsi="Verdana"/>
                <w:sz w:val="16"/>
                <w:szCs w:val="16"/>
                <w:lang w:val="en-US"/>
              </w:rPr>
              <w:t>With respect to the authorizations referred to in Article 64, first paragraph of the Law, the Assignee or Contractor must notify the Secretary, in accordance with the applicable legislation, after the occurrence of operational changes, among others, the following:</w:t>
            </w:r>
          </w:p>
        </w:tc>
      </w:tr>
      <w:tr w:rsidR="009849AC" w:rsidRPr="00C52435" w14:paraId="55811BB1" w14:textId="7B5C42BA" w:rsidTr="00F867DE">
        <w:tc>
          <w:tcPr>
            <w:tcW w:w="4711" w:type="dxa"/>
          </w:tcPr>
          <w:p w14:paraId="6EC9F9CD"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Cuando se trate de una reentrada o la realización de una desviación lateral en una perforación preexistente, que tenga como finalidad alcanzar el objetivo originalmente planteado en el Plan o Programa aprobado;</w:t>
            </w:r>
          </w:p>
        </w:tc>
        <w:tc>
          <w:tcPr>
            <w:tcW w:w="4649" w:type="dxa"/>
          </w:tcPr>
          <w:p w14:paraId="1D78C59F" w14:textId="25E27FB1"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When it involves a re-entry or the execution of a lateral deviation in a pre-existing drilling, the purpose of which is to achieve the objective originally set out in the approved Plan or Program;</w:t>
            </w:r>
          </w:p>
        </w:tc>
      </w:tr>
      <w:tr w:rsidR="009849AC" w:rsidRPr="00C52435" w14:paraId="6A0CBCD1" w14:textId="3D42158A" w:rsidTr="00F867DE">
        <w:tc>
          <w:tcPr>
            <w:tcW w:w="4711" w:type="dxa"/>
          </w:tcPr>
          <w:p w14:paraId="551036A2"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Cuando se decida la modificación de la profundización del pozo para alcanzar los objetivos geológicos originalmente planteados, ya sea en la autorización o al menos estén considerados en el Plan o Programa aprobado;</w:t>
            </w:r>
          </w:p>
        </w:tc>
        <w:tc>
          <w:tcPr>
            <w:tcW w:w="4649" w:type="dxa"/>
          </w:tcPr>
          <w:p w14:paraId="2B41327D" w14:textId="7D4979C5"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When it is decided to modify the well depth to achieve the geological objectives originally set out, whether in the authorization or at least considered in the approved Plan or Program;</w:t>
            </w:r>
          </w:p>
        </w:tc>
      </w:tr>
      <w:tr w:rsidR="009849AC" w:rsidRPr="00C52435" w14:paraId="78CD9B94" w14:textId="7F3AB9B3" w:rsidTr="00F867DE">
        <w:tc>
          <w:tcPr>
            <w:tcW w:w="4711" w:type="dxa"/>
          </w:tcPr>
          <w:p w14:paraId="05B48136"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Cuando se presenten cambios en el diseño del pozo, respecto de la incorporación de etapas de perforación, o el cambio en la trayectoria del pozo, o</w:t>
            </w:r>
          </w:p>
        </w:tc>
        <w:tc>
          <w:tcPr>
            <w:tcW w:w="4649" w:type="dxa"/>
          </w:tcPr>
          <w:p w14:paraId="0AF3157F" w14:textId="06D17DEB"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When changes occur in the well design, regarding the incorporation of drilling stages, or the change in the trajectory of the well, or</w:t>
            </w:r>
          </w:p>
        </w:tc>
      </w:tr>
      <w:tr w:rsidR="009849AC" w:rsidRPr="00C52435" w14:paraId="76602C0C" w14:textId="2A8C5A37" w:rsidTr="00F867DE">
        <w:tc>
          <w:tcPr>
            <w:tcW w:w="4711" w:type="dxa"/>
          </w:tcPr>
          <w:p w14:paraId="02D667FE"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Cuando se incrementen los costos respecto a lo programado de manera justificada.</w:t>
            </w:r>
          </w:p>
        </w:tc>
        <w:tc>
          <w:tcPr>
            <w:tcW w:w="4649" w:type="dxa"/>
          </w:tcPr>
          <w:p w14:paraId="656DC8D8" w14:textId="2DD863E2"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When costs increase with respect to the planned amount in a justified manner.</w:t>
            </w:r>
          </w:p>
        </w:tc>
      </w:tr>
      <w:tr w:rsidR="009849AC" w:rsidRPr="00C52435" w14:paraId="693634A3" w14:textId="3FBEF0A4" w:rsidTr="00F867DE">
        <w:tc>
          <w:tcPr>
            <w:tcW w:w="4711" w:type="dxa"/>
          </w:tcPr>
          <w:p w14:paraId="6286D214"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 Secretaría debe evaluar la información presentada y cuando no se justifiquen los cambios, conforme a la Normatividad aplicable, los títulos de Asignación o Contratos para la Exploración y Extracción vigentes, las actividades de construcción de los pozos autorizados no sean acordes con los diseños, objetivos, así como los elementos técnicos y económicos contenidos en los planes y programas aprobados, o las mejores prácticas internacionales, puede hacer recomendaciones respecto de la continuidad de la perforación del pozo o, en su caso, revocar la autorización, en términos del artículo 329 de este reglamento.</w:t>
            </w:r>
          </w:p>
        </w:tc>
        <w:tc>
          <w:tcPr>
            <w:tcW w:w="4649" w:type="dxa"/>
          </w:tcPr>
          <w:p w14:paraId="1B22AC2E" w14:textId="2A4EBB35"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Secretary must evaluate the information presented and when the changes are not justified, in accordance with the applicable legislation, the Assignment titles or Contracts for Exploration and Extraction in force, the construction activities of the authorized wells are not in accordance with the designs, objectives, as well as the technical and economic elements contained in the approved plans and programs, or the best international practices, it may make recommendations regarding the continuity of the drilling of the well or, where appropriate, revoke the authorization, in terms of article 329 of this regulation.</w:t>
            </w:r>
          </w:p>
        </w:tc>
      </w:tr>
      <w:tr w:rsidR="009849AC" w:rsidRPr="00C52435" w14:paraId="6DC2D67C" w14:textId="1C342A11" w:rsidTr="00F867DE">
        <w:tc>
          <w:tcPr>
            <w:tcW w:w="4711" w:type="dxa"/>
          </w:tcPr>
          <w:p w14:paraId="5F8E3637"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 xml:space="preserve">La persona Asignataria o Contratista no requiere autorización para la perforación de pozos de desarrollo asociados a planes de desarrollo y programas de transición aprobados por la Secretaría, con excepción de los pozos de desarrollo a que se refiere el artículo 64, fracciones II y III de la Ley, solo debe avisar el inicio y terminación o, en su caso, la actualización o </w:t>
            </w:r>
            <w:r w:rsidRPr="00837D4A">
              <w:rPr>
                <w:rFonts w:ascii="Verdana" w:hAnsi="Verdana"/>
                <w:sz w:val="16"/>
                <w:szCs w:val="16"/>
              </w:rPr>
              <w:lastRenderedPageBreak/>
              <w:t>desviaciones a lo programado, conforme a la Normatividad aplicable.</w:t>
            </w:r>
          </w:p>
        </w:tc>
        <w:tc>
          <w:tcPr>
            <w:tcW w:w="4649" w:type="dxa"/>
          </w:tcPr>
          <w:p w14:paraId="183EA159" w14:textId="60199082"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lastRenderedPageBreak/>
              <w:t xml:space="preserve">The Assignee or Contractor does not require authorization for the drilling of development wells associated with development plans and transition programs approved by the Secretary, with the exception of the development wells referred to in article 64, sections II and III of the Law, and must only notify the start and completion or, where appropriate, the </w:t>
            </w:r>
            <w:r w:rsidRPr="00837D4A">
              <w:rPr>
                <w:rFonts w:ascii="Verdana" w:hAnsi="Verdana"/>
                <w:sz w:val="16"/>
                <w:szCs w:val="16"/>
                <w:lang w:val="en-US"/>
              </w:rPr>
              <w:lastRenderedPageBreak/>
              <w:t>update or deviations from the schedule, in accordance with the applicable legislation.</w:t>
            </w:r>
          </w:p>
        </w:tc>
      </w:tr>
      <w:tr w:rsidR="009849AC" w:rsidRPr="00C52435" w14:paraId="558BB13C" w14:textId="35C09EA3" w:rsidTr="00F867DE">
        <w:tc>
          <w:tcPr>
            <w:tcW w:w="4711" w:type="dxa"/>
          </w:tcPr>
          <w:p w14:paraId="66AB5293"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lastRenderedPageBreak/>
              <w:t>La Secretaría debe evaluar la información presentada en los avisos e informes señalados y cuando las actividades de perforación no sean acordes con los diseños y objetivos documentados en los planes y programas aprobados, los títulos de Asignación o Contratos para la Exploración y Extracción vigentes, no se justifiquen los cambios técnicos o económicos presentados, o no sean conforme a la Normatividad aplicable o las mejores prácticas internacionales, puede hacer recomendaciones respecto de la continuidad, observar la inviabilidad operativa de las actividades de construcción del pozo, ejercer las facultades de verificación, en términos del presente reglamento, o, en su caso, ordenar la suspensión o el taponamiento del pozo.</w:t>
            </w:r>
          </w:p>
        </w:tc>
        <w:tc>
          <w:tcPr>
            <w:tcW w:w="4649" w:type="dxa"/>
          </w:tcPr>
          <w:p w14:paraId="39929BBF" w14:textId="07695C5C"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Secretary must evaluate the information presented in the indicated notices and reports and when the drilling activities are not in accordance with the designs and objectives documented in the approved plans and programs, the Assignment titles or Contracts for Exploration and Extraction in force, the technical or economic changes presented are not justified, or they are not in accordance with the applicable legislation or international best practices, it may make recommendations regarding continuity, observe the operational infeasibility of the well construction activities, exercise the verification powers, in terms of this regulation, or, where appropriate, order the suspension or plugging of the well.</w:t>
            </w:r>
          </w:p>
        </w:tc>
      </w:tr>
      <w:tr w:rsidR="009849AC" w:rsidRPr="00C52435" w14:paraId="0D2DDDCF" w14:textId="486DC1A2" w:rsidTr="00F867DE">
        <w:tc>
          <w:tcPr>
            <w:tcW w:w="4711" w:type="dxa"/>
          </w:tcPr>
          <w:p w14:paraId="6B1B30D9"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Para efectos del artículo 64, párrafos tercero y cuarto de la Ley,</w:t>
            </w:r>
            <w:r w:rsidRPr="00837D4A">
              <w:rPr>
                <w:rFonts w:ascii="Verdana" w:hAnsi="Verdana"/>
                <w:b/>
                <w:sz w:val="16"/>
                <w:szCs w:val="16"/>
              </w:rPr>
              <w:t xml:space="preserve"> </w:t>
            </w:r>
            <w:r w:rsidRPr="00837D4A">
              <w:rPr>
                <w:rFonts w:ascii="Verdana" w:hAnsi="Verdana"/>
                <w:sz w:val="16"/>
                <w:szCs w:val="16"/>
              </w:rPr>
              <w:t>la persona Asignataria o Contratista puede solicitar a la Secretaría la determinación de la inviabilidad de un pozo para actividades de Exploración y Extracción ubicado dentro del Área de Asignación o Área Contractual, para efectos de su posible reutilización.</w:t>
            </w:r>
          </w:p>
        </w:tc>
        <w:tc>
          <w:tcPr>
            <w:tcW w:w="4649" w:type="dxa"/>
          </w:tcPr>
          <w:p w14:paraId="35AA3620" w14:textId="28D82DF5"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For the purposes of article 64, paragraphs three and four of the Law,</w:t>
            </w:r>
            <w:r w:rsidRPr="00837D4A">
              <w:rPr>
                <w:rFonts w:ascii="Verdana" w:hAnsi="Verdana"/>
                <w:b/>
                <w:sz w:val="16"/>
                <w:szCs w:val="16"/>
                <w:lang w:val="en-US"/>
              </w:rPr>
              <w:t xml:space="preserve"> </w:t>
            </w:r>
            <w:r w:rsidRPr="00837D4A">
              <w:rPr>
                <w:rFonts w:ascii="Verdana" w:hAnsi="Verdana"/>
                <w:sz w:val="16"/>
                <w:szCs w:val="16"/>
                <w:lang w:val="en-US"/>
              </w:rPr>
              <w:t>The Assignee or Contractor may request the Secretary to determine the infeasibility of a well for Exploration and Extraction activities located within the Assignment area or Contract Area, for the purposes of its possible reuse.</w:t>
            </w:r>
          </w:p>
        </w:tc>
      </w:tr>
      <w:tr w:rsidR="009849AC" w:rsidRPr="00C52435" w14:paraId="12473BB5" w14:textId="5DEB2E08" w:rsidTr="00F867DE">
        <w:tc>
          <w:tcPr>
            <w:tcW w:w="4711" w:type="dxa"/>
          </w:tcPr>
          <w:p w14:paraId="33A3141C"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 solicitud debe presentarse mediante el formato autorizado por la Secretaría, debidamente requisitado y contener al menos, la siguiente información:</w:t>
            </w:r>
          </w:p>
        </w:tc>
        <w:tc>
          <w:tcPr>
            <w:tcW w:w="4649" w:type="dxa"/>
          </w:tcPr>
          <w:p w14:paraId="2251E2E4" w14:textId="7287842D"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application must be submitted using the form authorized by the Secretary, duly completed and containing at least the following information:</w:t>
            </w:r>
          </w:p>
        </w:tc>
      </w:tr>
      <w:tr w:rsidR="009849AC" w:rsidRPr="00C52435" w14:paraId="5A977DDC" w14:textId="3A7A1394" w:rsidTr="00F867DE">
        <w:tc>
          <w:tcPr>
            <w:tcW w:w="4711" w:type="dxa"/>
          </w:tcPr>
          <w:p w14:paraId="51CA57CF"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identificación precisa del pozo, y debe incluir las coordenadas, profundidad y características técnicas;</w:t>
            </w:r>
          </w:p>
        </w:tc>
        <w:tc>
          <w:tcPr>
            <w:tcW w:w="4649" w:type="dxa"/>
          </w:tcPr>
          <w:p w14:paraId="784DEAEE" w14:textId="4929297E"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precise identification of the well, and must include the coordinates, depth and technical characteristics;</w:t>
            </w:r>
          </w:p>
        </w:tc>
      </w:tr>
      <w:tr w:rsidR="009849AC" w:rsidRPr="00C52435" w14:paraId="0359D927" w14:textId="603AA851" w:rsidTr="00F867DE">
        <w:tc>
          <w:tcPr>
            <w:tcW w:w="4711" w:type="dxa"/>
          </w:tcPr>
          <w:p w14:paraId="00C43CB7"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justificación técnica y económica de la inviabilidad para actividades de Exploración y Extracción de Hidrocarburos, y</w:t>
            </w:r>
          </w:p>
        </w:tc>
        <w:tc>
          <w:tcPr>
            <w:tcW w:w="4649" w:type="dxa"/>
          </w:tcPr>
          <w:p w14:paraId="45580F01" w14:textId="4B2992C0"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technical and economic justification for the infeasibility of Hydrocarbon Exploration and Extraction activities, and</w:t>
            </w:r>
          </w:p>
        </w:tc>
      </w:tr>
      <w:tr w:rsidR="009849AC" w:rsidRPr="00C52435" w14:paraId="1063EA2E" w14:textId="5E448290" w:rsidTr="00F867DE">
        <w:tc>
          <w:tcPr>
            <w:tcW w:w="4711" w:type="dxa"/>
          </w:tcPr>
          <w:p w14:paraId="28EC6824"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 demás información que determine la Secretaría en la Normatividad aplicable.</w:t>
            </w:r>
          </w:p>
        </w:tc>
        <w:tc>
          <w:tcPr>
            <w:tcW w:w="4649" w:type="dxa"/>
          </w:tcPr>
          <w:p w14:paraId="0551A90E" w14:textId="1EB689EE"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Other information determined by the Secretary in the applicable legislation.</w:t>
            </w:r>
          </w:p>
        </w:tc>
      </w:tr>
      <w:tr w:rsidR="009849AC" w:rsidRPr="00C52435" w14:paraId="146DE8BA" w14:textId="28CF304A" w:rsidTr="00F867DE">
        <w:tc>
          <w:tcPr>
            <w:tcW w:w="4711" w:type="dxa"/>
          </w:tcPr>
          <w:p w14:paraId="641BAAA2"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Una vez que se cuente con la información requerida, la Secretaría cuenta con un plazo de veinte días hábiles para emitir la determinación correspondiente. De determinarse procedente la inviabilidad del pozo, la persona interesada debe dar cumplimiento a la Normatividad emitida por la Secretaría y la Agencia, en el ámbito de sus competencias. En caso de que no resulte procedente, la persona Asignataria o Contratista debe continuar con sus obligaciones y actividades.</w:t>
            </w:r>
          </w:p>
        </w:tc>
        <w:tc>
          <w:tcPr>
            <w:tcW w:w="4649" w:type="dxa"/>
          </w:tcPr>
          <w:p w14:paraId="2F7C552F" w14:textId="20A2E6D6"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Once the required information is available, the Secretary has a period of twenty business days to issue the corresponding determination. If the well is found to be unviable, the interested party must comply with the legislation issued by the Secretary and the Agency, within the scope of their powers. If this is not appropriate, the Assignee or Contractor must continue with their obligations and activities.</w:t>
            </w:r>
          </w:p>
        </w:tc>
      </w:tr>
      <w:tr w:rsidR="009849AC" w:rsidRPr="00C52435" w14:paraId="44AA131C" w14:textId="4FDCBECB" w:rsidTr="00F867DE">
        <w:tc>
          <w:tcPr>
            <w:tcW w:w="4711" w:type="dxa"/>
          </w:tcPr>
          <w:p w14:paraId="5785D786"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 Secretaría debe emitir la Normatividad correspondiente para el desarrollo de los proyectos señalados en el artículo 64, último párrafo de la Ley.</w:t>
            </w:r>
          </w:p>
        </w:tc>
        <w:tc>
          <w:tcPr>
            <w:tcW w:w="4649" w:type="dxa"/>
          </w:tcPr>
          <w:p w14:paraId="62905FF7" w14:textId="2A97E8C8"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Secretary must issue the corresponding Regulation for the development of the projects indicated in the last paragraph of Article 64 of the Law.</w:t>
            </w:r>
          </w:p>
        </w:tc>
      </w:tr>
      <w:tr w:rsidR="009849AC" w:rsidRPr="00D0180E" w14:paraId="1ECD294F" w14:textId="57BE67FC" w:rsidTr="00F867DE">
        <w:tc>
          <w:tcPr>
            <w:tcW w:w="4711" w:type="dxa"/>
          </w:tcPr>
          <w:p w14:paraId="4BABF46F"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Capítulo X</w:t>
            </w:r>
          </w:p>
        </w:tc>
        <w:tc>
          <w:tcPr>
            <w:tcW w:w="4649" w:type="dxa"/>
          </w:tcPr>
          <w:p w14:paraId="3EA825E8" w14:textId="0CD3F69D"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Chapter X</w:t>
            </w:r>
          </w:p>
        </w:tc>
      </w:tr>
      <w:tr w:rsidR="009849AC" w:rsidRPr="00D0180E" w14:paraId="54864683" w14:textId="53C31CAE" w:rsidTr="00F867DE">
        <w:tc>
          <w:tcPr>
            <w:tcW w:w="4711" w:type="dxa"/>
          </w:tcPr>
          <w:p w14:paraId="3FB66D27"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De la Regulación y Obligaciones</w:t>
            </w:r>
          </w:p>
        </w:tc>
        <w:tc>
          <w:tcPr>
            <w:tcW w:w="4649" w:type="dxa"/>
          </w:tcPr>
          <w:p w14:paraId="7F303286" w14:textId="3AA898A9"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Regulation and Obligations</w:t>
            </w:r>
          </w:p>
        </w:tc>
      </w:tr>
      <w:tr w:rsidR="009849AC" w:rsidRPr="00C52435" w14:paraId="00A31A02" w14:textId="770F2D6C" w:rsidTr="00F867DE">
        <w:tc>
          <w:tcPr>
            <w:tcW w:w="4711" w:type="dxa"/>
          </w:tcPr>
          <w:p w14:paraId="3E4BE529"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 xml:space="preserve">Artículo 83. </w:t>
            </w:r>
            <w:r w:rsidRPr="00837D4A">
              <w:rPr>
                <w:rFonts w:ascii="Verdana" w:hAnsi="Verdana"/>
                <w:sz w:val="16"/>
                <w:szCs w:val="16"/>
              </w:rPr>
              <w:t xml:space="preserve">Como parte de la evaluación establecida en el artículo 72 de la Ley, previo a la aprobación de los planes de Exploración y de desarrollo para la Extracción y sus programas, la Secretaría debe contar con opinión </w:t>
            </w:r>
            <w:r w:rsidRPr="00837D4A">
              <w:rPr>
                <w:rFonts w:ascii="Verdana" w:hAnsi="Verdana"/>
                <w:sz w:val="16"/>
                <w:szCs w:val="16"/>
              </w:rPr>
              <w:lastRenderedPageBreak/>
              <w:t>favorable de la Secretaría de Economía respecto del programa de cumplimiento de porcentaje de contenido nacional establecido en el artículo 74 de la Ley, la cual debe ser emitida en un plazo de diez días hábiles.</w:t>
            </w:r>
          </w:p>
        </w:tc>
        <w:tc>
          <w:tcPr>
            <w:tcW w:w="4649" w:type="dxa"/>
          </w:tcPr>
          <w:p w14:paraId="1C4E740F" w14:textId="035917F8"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83. </w:t>
            </w:r>
            <w:r w:rsidRPr="00837D4A">
              <w:rPr>
                <w:rFonts w:ascii="Verdana" w:hAnsi="Verdana"/>
                <w:sz w:val="16"/>
                <w:szCs w:val="16"/>
                <w:lang w:val="en-US"/>
              </w:rPr>
              <w:t xml:space="preserve">As part of the evaluation established in Article 72 of the Law, prior to the approval of the Exploration and Extraction development plans and their programs, the Secretary must have a favorable opinion </w:t>
            </w:r>
            <w:r w:rsidRPr="00837D4A">
              <w:rPr>
                <w:rFonts w:ascii="Verdana" w:hAnsi="Verdana"/>
                <w:sz w:val="16"/>
                <w:szCs w:val="16"/>
                <w:lang w:val="en-US"/>
              </w:rPr>
              <w:lastRenderedPageBreak/>
              <w:t>from the Secretary of Economy regarding the program for compliance with the percentage of national content established in Article 74 of the Law, which must be issued within a period of ten business days.</w:t>
            </w:r>
          </w:p>
        </w:tc>
      </w:tr>
      <w:tr w:rsidR="009849AC" w:rsidRPr="00C52435" w14:paraId="2DB2DF32" w14:textId="08C7259D" w:rsidTr="00F867DE">
        <w:tc>
          <w:tcPr>
            <w:tcW w:w="4711" w:type="dxa"/>
          </w:tcPr>
          <w:p w14:paraId="0C29767A"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lastRenderedPageBreak/>
              <w:t>La Secretaría debe evaluar y, en su caso, aprobar los programas de capacitación, infraestructura y transferencia de tecnología, contenidos en el programa de cumplimiento de porcentaje de contenido nacional aprobado en los planes y programas de Exploración y de desarrollo para la Extracción y verificar su cumplimiento.</w:t>
            </w:r>
          </w:p>
        </w:tc>
        <w:tc>
          <w:tcPr>
            <w:tcW w:w="4649" w:type="dxa"/>
          </w:tcPr>
          <w:p w14:paraId="5AFABA6C" w14:textId="737A8505"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Secretary must evaluate and, where appropriate, approve the training, infrastructure, and technology transfer programs contained in the program for compliance with the percentage of national content approved in the Exploration and Extraction development plans and programs, and verify their compliance.</w:t>
            </w:r>
          </w:p>
        </w:tc>
      </w:tr>
      <w:tr w:rsidR="009849AC" w:rsidRPr="00C52435" w14:paraId="42C82E52" w14:textId="5FCE9886" w:rsidTr="00F867DE">
        <w:tc>
          <w:tcPr>
            <w:tcW w:w="4711" w:type="dxa"/>
          </w:tcPr>
          <w:p w14:paraId="42293AF9"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 xml:space="preserve">Artículo 84. </w:t>
            </w:r>
            <w:r w:rsidRPr="00837D4A">
              <w:rPr>
                <w:rFonts w:ascii="Verdana" w:hAnsi="Verdana"/>
                <w:sz w:val="16"/>
                <w:szCs w:val="16"/>
              </w:rPr>
              <w:t>Para efectos del artículo 72, fracción II de la Ley, la evaluación y aprobación de un plan de desarrollo para la Extracción puede contemplar la correspondiente al plan de abandono que presenten en su momento Petróleos Mexicanos, el Operador Petrolero o las personas Contratistas.</w:t>
            </w:r>
          </w:p>
        </w:tc>
        <w:tc>
          <w:tcPr>
            <w:tcW w:w="4649" w:type="dxa"/>
          </w:tcPr>
          <w:p w14:paraId="13BE3DF9" w14:textId="2890BD94"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84. </w:t>
            </w:r>
            <w:r w:rsidRPr="00837D4A">
              <w:rPr>
                <w:rFonts w:ascii="Verdana" w:hAnsi="Verdana"/>
                <w:sz w:val="16"/>
                <w:szCs w:val="16"/>
                <w:lang w:val="en-US"/>
              </w:rPr>
              <w:t>For the purposes of article 72, section II of the Law, the evaluation and approval of a development plan for Extraction may include the corresponding abandonment plan submitted at the time by Petróleos Mexicanos, the petroleum Operator or the Contractors.</w:t>
            </w:r>
          </w:p>
        </w:tc>
      </w:tr>
      <w:tr w:rsidR="009849AC" w:rsidRPr="00C52435" w14:paraId="3BF94BDF" w14:textId="045C4583" w:rsidTr="00F867DE">
        <w:tc>
          <w:tcPr>
            <w:tcW w:w="4711" w:type="dxa"/>
          </w:tcPr>
          <w:p w14:paraId="14A5E971"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 evaluación del programa de aprovechamiento de Gas Natural y los mecanismos de medición de la producción de Hidrocarburos señalada en el artículo 72, fracción II de la Ley, se debe realizar conforme a la Normatividad que emita la Secretaría.</w:t>
            </w:r>
          </w:p>
        </w:tc>
        <w:tc>
          <w:tcPr>
            <w:tcW w:w="4649" w:type="dxa"/>
          </w:tcPr>
          <w:p w14:paraId="62E37413" w14:textId="7EB8D349"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evaluation of the natural gas exploitation program and the hydrocarbon production measurement mechanisms outlined in Article 72, Section II of the Law, must be carried out in accordance with the legislation issued by the Secretary.</w:t>
            </w:r>
          </w:p>
        </w:tc>
      </w:tr>
      <w:tr w:rsidR="009849AC" w:rsidRPr="00D0180E" w14:paraId="73095E87" w14:textId="4AE8F3AA" w:rsidTr="00F867DE">
        <w:tc>
          <w:tcPr>
            <w:tcW w:w="4711" w:type="dxa"/>
          </w:tcPr>
          <w:p w14:paraId="65E09036"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TÍTULO TERCERO</w:t>
            </w:r>
          </w:p>
        </w:tc>
        <w:tc>
          <w:tcPr>
            <w:tcW w:w="4649" w:type="dxa"/>
          </w:tcPr>
          <w:p w14:paraId="65D896C6" w14:textId="668E49FC"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rPr>
              <w:t>THIRD TITLE</w:t>
            </w:r>
          </w:p>
        </w:tc>
      </w:tr>
      <w:tr w:rsidR="009849AC" w:rsidRPr="00C52435" w14:paraId="3F6FD077" w14:textId="411D17DA" w:rsidTr="00F867DE">
        <w:tc>
          <w:tcPr>
            <w:tcW w:w="4711" w:type="dxa"/>
          </w:tcPr>
          <w:p w14:paraId="497C44FF"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DE LAS DEMÁS ACTIVIDADES DE LA INDUSTRIA DE HIDROCARBUROS</w:t>
            </w:r>
          </w:p>
        </w:tc>
        <w:tc>
          <w:tcPr>
            <w:tcW w:w="4649" w:type="dxa"/>
          </w:tcPr>
          <w:p w14:paraId="1428CB95" w14:textId="65CF9DA7"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ALL OTHER ACTIVITIES IN THE HYDROCARBON INDUSTRY</w:t>
            </w:r>
          </w:p>
        </w:tc>
      </w:tr>
      <w:tr w:rsidR="009849AC" w:rsidRPr="00D0180E" w14:paraId="0DAC112C" w14:textId="7C16CE3E" w:rsidTr="00F867DE">
        <w:tc>
          <w:tcPr>
            <w:tcW w:w="4711" w:type="dxa"/>
          </w:tcPr>
          <w:p w14:paraId="3F9D394D"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Capítulo I</w:t>
            </w:r>
          </w:p>
        </w:tc>
        <w:tc>
          <w:tcPr>
            <w:tcW w:w="4649" w:type="dxa"/>
          </w:tcPr>
          <w:p w14:paraId="11F32CCB" w14:textId="0A1559D6" w:rsidR="009849AC" w:rsidRPr="00837D4A" w:rsidRDefault="009849AC" w:rsidP="009849AC">
            <w:pPr>
              <w:pStyle w:val="Texto"/>
              <w:spacing w:line="226"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w:t>
            </w:r>
          </w:p>
        </w:tc>
      </w:tr>
      <w:tr w:rsidR="009849AC" w:rsidRPr="00D0180E" w14:paraId="43676757" w14:textId="390A1C6C" w:rsidTr="00F867DE">
        <w:tc>
          <w:tcPr>
            <w:tcW w:w="4711" w:type="dxa"/>
          </w:tcPr>
          <w:p w14:paraId="1D1B826E"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De los Permisos</w:t>
            </w:r>
          </w:p>
        </w:tc>
        <w:tc>
          <w:tcPr>
            <w:tcW w:w="4649" w:type="dxa"/>
          </w:tcPr>
          <w:p w14:paraId="53F1294F" w14:textId="68DFEC6D" w:rsidR="009849AC" w:rsidRPr="00837D4A" w:rsidRDefault="009849AC" w:rsidP="009849AC">
            <w:pPr>
              <w:pStyle w:val="Texto"/>
              <w:spacing w:line="226" w:lineRule="exact"/>
              <w:ind w:firstLine="0"/>
              <w:jc w:val="center"/>
              <w:rPr>
                <w:rFonts w:ascii="Verdana" w:hAnsi="Verdana"/>
                <w:b/>
                <w:sz w:val="16"/>
                <w:szCs w:val="16"/>
                <w:lang w:val="en-US"/>
              </w:rPr>
            </w:pPr>
            <w:proofErr w:type="spellStart"/>
            <w:r w:rsidRPr="00837D4A">
              <w:rPr>
                <w:rFonts w:ascii="Verdana" w:hAnsi="Verdana"/>
                <w:b/>
                <w:sz w:val="16"/>
                <w:szCs w:val="16"/>
              </w:rPr>
              <w:t>Permits</w:t>
            </w:r>
            <w:proofErr w:type="spellEnd"/>
          </w:p>
        </w:tc>
      </w:tr>
      <w:tr w:rsidR="009849AC" w:rsidRPr="00C52435" w14:paraId="65BA70DF" w14:textId="65CA9FE0" w:rsidTr="00F867DE">
        <w:tc>
          <w:tcPr>
            <w:tcW w:w="4711" w:type="dxa"/>
          </w:tcPr>
          <w:p w14:paraId="70F442FA"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 xml:space="preserve">Artículo 85. </w:t>
            </w:r>
            <w:r w:rsidRPr="00837D4A">
              <w:rPr>
                <w:rFonts w:ascii="Verdana" w:hAnsi="Verdana"/>
                <w:sz w:val="16"/>
                <w:szCs w:val="16"/>
              </w:rPr>
              <w:t>Las actividades a que se refiere el artículo 76 de la Ley, son actividades permisionadas y están sujetas a lo establecido en la Ley, en el presente reglamento y en la demás Normatividad aplicable.</w:t>
            </w:r>
          </w:p>
        </w:tc>
        <w:tc>
          <w:tcPr>
            <w:tcW w:w="4649" w:type="dxa"/>
          </w:tcPr>
          <w:p w14:paraId="29644EF6" w14:textId="43F2813C"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85. </w:t>
            </w:r>
            <w:r w:rsidRPr="00837D4A">
              <w:rPr>
                <w:rFonts w:ascii="Verdana" w:hAnsi="Verdana"/>
                <w:sz w:val="16"/>
                <w:szCs w:val="16"/>
                <w:lang w:val="en-US"/>
              </w:rPr>
              <w:t>The activities referred to in Article 76 of the Law are permitted activities and are subject to the provisions of the Law, this Regulation and other applicable legislation.</w:t>
            </w:r>
          </w:p>
        </w:tc>
      </w:tr>
      <w:tr w:rsidR="009849AC" w:rsidRPr="00C52435" w14:paraId="6F98C4AC" w14:textId="0835ED24" w:rsidTr="00F867DE">
        <w:tc>
          <w:tcPr>
            <w:tcW w:w="4711" w:type="dxa"/>
          </w:tcPr>
          <w:p w14:paraId="3C890530"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 xml:space="preserve">Artículo 86. </w:t>
            </w:r>
            <w:r w:rsidRPr="00837D4A">
              <w:rPr>
                <w:rFonts w:ascii="Verdana" w:hAnsi="Verdana"/>
                <w:sz w:val="16"/>
                <w:szCs w:val="16"/>
              </w:rPr>
              <w:t>Las actividades permisionadas deben realizarse de manera eficiente, homogénea, regular, segura, continua y uniforme, en condiciones no indebidamente discriminatorias, en cuanto a su calidad, oportunidad, cantidad y precio.</w:t>
            </w:r>
          </w:p>
        </w:tc>
        <w:tc>
          <w:tcPr>
            <w:tcW w:w="4649" w:type="dxa"/>
          </w:tcPr>
          <w:p w14:paraId="17D73348" w14:textId="39687FAD"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86. </w:t>
            </w:r>
            <w:r w:rsidRPr="00837D4A">
              <w:rPr>
                <w:rFonts w:ascii="Verdana" w:hAnsi="Verdana"/>
                <w:sz w:val="16"/>
                <w:szCs w:val="16"/>
                <w:lang w:val="en-US"/>
              </w:rPr>
              <w:t>Permitted activities must be carried out in an efficient, homogeneous, regular, safe, continuous, and uniform manner, under conditions that are not unduly discriminatory in terms of quality, timeliness, quantity, and price.</w:t>
            </w:r>
          </w:p>
        </w:tc>
      </w:tr>
      <w:tr w:rsidR="009849AC" w:rsidRPr="00C52435" w14:paraId="5ACEA022" w14:textId="35D70349" w:rsidTr="00F867DE">
        <w:tc>
          <w:tcPr>
            <w:tcW w:w="4711" w:type="dxa"/>
          </w:tcPr>
          <w:p w14:paraId="52BDEA34"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Artículo 87.</w:t>
            </w:r>
            <w:r w:rsidRPr="00837D4A">
              <w:rPr>
                <w:rFonts w:ascii="Verdana" w:hAnsi="Verdana"/>
                <w:sz w:val="16"/>
                <w:szCs w:val="16"/>
              </w:rPr>
              <w:t xml:space="preserve"> Queda prohibido a las personas Permisionarias:</w:t>
            </w:r>
          </w:p>
        </w:tc>
        <w:tc>
          <w:tcPr>
            <w:tcW w:w="4649" w:type="dxa"/>
          </w:tcPr>
          <w:p w14:paraId="14A5CEDB" w14:textId="78F6E6E9"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87. </w:t>
            </w:r>
            <w:r w:rsidRPr="00837D4A">
              <w:rPr>
                <w:rFonts w:ascii="Verdana" w:hAnsi="Verdana"/>
                <w:sz w:val="16"/>
                <w:szCs w:val="16"/>
                <w:lang w:val="en-US"/>
              </w:rPr>
              <w:t>Permit holders are prohibited from:</w:t>
            </w:r>
          </w:p>
        </w:tc>
      </w:tr>
      <w:tr w:rsidR="009849AC" w:rsidRPr="00C52435" w14:paraId="577E1E52" w14:textId="37FD580A" w:rsidTr="00F867DE">
        <w:tc>
          <w:tcPr>
            <w:tcW w:w="4711" w:type="dxa"/>
          </w:tcPr>
          <w:p w14:paraId="43E230FC"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Prestar o recibir servicios inherentes a las actividades permisionadas, así como comprar o vender Hidrocarburos, Petrolíferos o Petroquímicos a Particulares que, en los términos de la Ley, del presente reglamento o de la Normatividad aplicable requieran de permiso y que no cuenten con este;</w:t>
            </w:r>
          </w:p>
        </w:tc>
        <w:tc>
          <w:tcPr>
            <w:tcW w:w="4649" w:type="dxa"/>
          </w:tcPr>
          <w:p w14:paraId="0D273F1E" w14:textId="59A3D03B"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Providing or receiving services inherent to permitted activities, as well as buying or selling Hydrocarbons, Petroleum Products or Petrochemicals to Private Parties who, in the terms of the Law, this Regulation or the applicable legislation, require a permit and do not have one;</w:t>
            </w:r>
          </w:p>
        </w:tc>
      </w:tr>
      <w:tr w:rsidR="009849AC" w:rsidRPr="00C52435" w14:paraId="5DB5A1E5" w14:textId="35AD2051" w:rsidTr="00F867DE">
        <w:tc>
          <w:tcPr>
            <w:tcW w:w="4711" w:type="dxa"/>
          </w:tcPr>
          <w:p w14:paraId="1C5E0369"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Alterar o Adulterar el producto terminado o final en el desarrollo de las actividades permisionadas, tanto en instalaciones como en equipos vinculados con estas o en cualquier otra instalación o equipo;</w:t>
            </w:r>
          </w:p>
        </w:tc>
        <w:tc>
          <w:tcPr>
            <w:tcW w:w="4649" w:type="dxa"/>
          </w:tcPr>
          <w:p w14:paraId="4DBD82AA" w14:textId="7BFE3803"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Altering or adulterating the finished or final product while carrying out the permitted activities, both in facilities and in equipment linked to them or in any other facility or equipment;</w:t>
            </w:r>
          </w:p>
        </w:tc>
      </w:tr>
      <w:tr w:rsidR="009849AC" w:rsidRPr="00C52435" w14:paraId="457E32EA" w14:textId="7A4A9948" w:rsidTr="00F867DE">
        <w:tc>
          <w:tcPr>
            <w:tcW w:w="4711" w:type="dxa"/>
          </w:tcPr>
          <w:p w14:paraId="1C10A45D"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 xml:space="preserve">Transferir o recibir la propiedad o posesión de un producto terminado o final que haya sido Alterado o Adulterado, en el desarrollo de las actividades </w:t>
            </w:r>
            <w:r w:rsidRPr="00837D4A">
              <w:rPr>
                <w:rFonts w:ascii="Verdana" w:hAnsi="Verdana"/>
                <w:sz w:val="16"/>
                <w:szCs w:val="16"/>
              </w:rPr>
              <w:lastRenderedPageBreak/>
              <w:t>permisionadas, tanto en instalaciones como en equipos vinculados con estas o en cualquier otra instalación o equipo;</w:t>
            </w:r>
          </w:p>
        </w:tc>
        <w:tc>
          <w:tcPr>
            <w:tcW w:w="4649" w:type="dxa"/>
          </w:tcPr>
          <w:p w14:paraId="1AE76415" w14:textId="64ED798F"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lastRenderedPageBreak/>
              <w:t xml:space="preserve">III. </w:t>
            </w:r>
            <w:r w:rsidRPr="00837D4A">
              <w:rPr>
                <w:rFonts w:ascii="Verdana" w:hAnsi="Verdana"/>
                <w:b/>
                <w:sz w:val="16"/>
                <w:szCs w:val="16"/>
                <w:lang w:val="en-US"/>
              </w:rPr>
              <w:tab/>
            </w:r>
            <w:r w:rsidRPr="00837D4A">
              <w:rPr>
                <w:rFonts w:ascii="Verdana" w:hAnsi="Verdana"/>
                <w:sz w:val="16"/>
                <w:szCs w:val="16"/>
                <w:lang w:val="en-US"/>
              </w:rPr>
              <w:t xml:space="preserve">Transferring or receiving ownership or possession of a finished or final product that has been altered or adulterated, in the development of permitted </w:t>
            </w:r>
            <w:r w:rsidRPr="00837D4A">
              <w:rPr>
                <w:rFonts w:ascii="Verdana" w:hAnsi="Verdana"/>
                <w:sz w:val="16"/>
                <w:szCs w:val="16"/>
                <w:lang w:val="en-US"/>
              </w:rPr>
              <w:lastRenderedPageBreak/>
              <w:t>activities, both in facilities and in equipment linked to these or in any other facility or equipment;</w:t>
            </w:r>
          </w:p>
        </w:tc>
      </w:tr>
      <w:tr w:rsidR="009849AC" w:rsidRPr="00C52435" w14:paraId="22C369D3" w14:textId="39F73619" w:rsidTr="00F867DE">
        <w:tc>
          <w:tcPr>
            <w:tcW w:w="4711" w:type="dxa"/>
          </w:tcPr>
          <w:p w14:paraId="15741E84"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lastRenderedPageBreak/>
              <w:t>IV.</w:t>
            </w:r>
            <w:r w:rsidRPr="00837D4A">
              <w:rPr>
                <w:rFonts w:ascii="Verdana" w:hAnsi="Verdana"/>
                <w:b/>
                <w:sz w:val="16"/>
                <w:szCs w:val="16"/>
              </w:rPr>
              <w:tab/>
            </w:r>
            <w:r w:rsidRPr="00837D4A">
              <w:rPr>
                <w:rFonts w:ascii="Verdana" w:hAnsi="Verdana"/>
                <w:sz w:val="16"/>
                <w:szCs w:val="16"/>
              </w:rPr>
              <w:t>Vender u ofertar por cualquier medio y de cualquier manera un producto terminado o final que haya sido Alterado o Adulterado, y</w:t>
            </w:r>
          </w:p>
        </w:tc>
        <w:tc>
          <w:tcPr>
            <w:tcW w:w="4649" w:type="dxa"/>
          </w:tcPr>
          <w:p w14:paraId="5BE326F6" w14:textId="0B26C168"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Selling or offering by any means and in any manner a finished or final product that has been altered or adulterated, and</w:t>
            </w:r>
          </w:p>
        </w:tc>
      </w:tr>
      <w:tr w:rsidR="009849AC" w:rsidRPr="00C52435" w14:paraId="760A95FE" w14:textId="345A88F4" w:rsidTr="00F867DE">
        <w:tc>
          <w:tcPr>
            <w:tcW w:w="4711" w:type="dxa"/>
          </w:tcPr>
          <w:p w14:paraId="3DBF7C26"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Permitir el uso y goce de los derechos conferidos en el permiso que le haya sido otorgado, de manera gratuita u onerosa, a cualquier Particular distinto a la persona Permisionaria autorizada.</w:t>
            </w:r>
          </w:p>
        </w:tc>
        <w:tc>
          <w:tcPr>
            <w:tcW w:w="4649" w:type="dxa"/>
          </w:tcPr>
          <w:p w14:paraId="1044CD76" w14:textId="094BA942"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Allowing the use and enjoyment of the rights conferred in the permit that has been granted, free of charge or for a fee, to any individual other than the authorized Permit Holder.</w:t>
            </w:r>
          </w:p>
        </w:tc>
      </w:tr>
      <w:tr w:rsidR="009849AC" w:rsidRPr="00C52435" w14:paraId="392854D5" w14:textId="3A8AF305" w:rsidTr="00F867DE">
        <w:tc>
          <w:tcPr>
            <w:tcW w:w="4711" w:type="dxa"/>
          </w:tcPr>
          <w:p w14:paraId="0F292976"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En caso de contravenir alguno de los supuestos previstos en este artículo, la Secretaría o la Comisión, en el ámbito de su competencia, deben sancionar a la persona Permisionaria conforme al artículo 121, fracción I, inciso k) o fracción II, inciso l) de la Ley y en su caso, hacer del conocimiento a la autoridad competente para efectos de la actualización de las conductas previstas en la Ley Federal para Prevenir y Sancionar los Delitos Cometidos en Materia de Hidrocarburos y en la demás Normatividad aplicable.</w:t>
            </w:r>
          </w:p>
        </w:tc>
        <w:tc>
          <w:tcPr>
            <w:tcW w:w="4649" w:type="dxa"/>
          </w:tcPr>
          <w:p w14:paraId="7F99E7C5" w14:textId="2E8310BF"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In the event of contravening any of the assumptions provided for in this article, the Secretary or the Commission, within the scope of their authority, must sanction the Permit Holder in accordance with article 121, section I, subsection k) or section II, subsection l) of the Law and, where appropriate, inform the appropriate authority for the purposes of updating the conduct provided for in the Federal Law to Prevent and Punish Crimes Committed in the Field of Hydrocarbons and in other applicable legislation.</w:t>
            </w:r>
          </w:p>
        </w:tc>
      </w:tr>
      <w:tr w:rsidR="009849AC" w:rsidRPr="00C52435" w14:paraId="6F4AFD49" w14:textId="4E5D726B" w:rsidTr="00F867DE">
        <w:tc>
          <w:tcPr>
            <w:tcW w:w="4711" w:type="dxa"/>
          </w:tcPr>
          <w:p w14:paraId="5B4B355C"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Artículo 88.</w:t>
            </w:r>
            <w:r w:rsidRPr="00837D4A">
              <w:rPr>
                <w:rFonts w:ascii="Verdana" w:hAnsi="Verdana"/>
                <w:sz w:val="16"/>
                <w:szCs w:val="16"/>
              </w:rPr>
              <w:t xml:space="preserve"> Queda prohibido a las personas Usuarias y Usuarias Finales, contratar o prestar servicios, comprar o vender Hidrocarburos, Petrolíferos o Petroquímicos a Particulares que, en los términos de la Ley y del presente reglamento, realicen actividades que requieren de permiso y no cuenten con este.</w:t>
            </w:r>
          </w:p>
        </w:tc>
        <w:tc>
          <w:tcPr>
            <w:tcW w:w="4649" w:type="dxa"/>
          </w:tcPr>
          <w:p w14:paraId="71FB4477" w14:textId="2F87D2E1"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88. </w:t>
            </w:r>
            <w:r w:rsidRPr="00837D4A">
              <w:rPr>
                <w:rFonts w:ascii="Verdana" w:hAnsi="Verdana"/>
                <w:sz w:val="16"/>
                <w:szCs w:val="16"/>
                <w:lang w:val="en-US"/>
              </w:rPr>
              <w:t>Users and End Users are prohibited from contracting or providing services, buying or selling hydrocarbons, petroleum products or petrochemicals to private parties who, under the terms of the Law and this Regulation, carry out activities that require a permit and do not have one.</w:t>
            </w:r>
          </w:p>
        </w:tc>
      </w:tr>
      <w:tr w:rsidR="009849AC" w:rsidRPr="00C52435" w14:paraId="7F0263F5" w14:textId="4F7E8204" w:rsidTr="00F867DE">
        <w:tc>
          <w:tcPr>
            <w:tcW w:w="4711" w:type="dxa"/>
          </w:tcPr>
          <w:p w14:paraId="2AE3C4D2"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Para efectos de lo anterior, las personas referidas deben corroborar que su contraparte en la transacción comercial cuenta con el permiso vigente emitido por autoridad competente mediante la consulta que se realice directamente a la Secretaría o a la Comisión, o mediante las plataformas, herramientas tecnológicas y demás medios que para tal efecto se establezcan.</w:t>
            </w:r>
          </w:p>
        </w:tc>
        <w:tc>
          <w:tcPr>
            <w:tcW w:w="4649" w:type="dxa"/>
          </w:tcPr>
          <w:p w14:paraId="434EA5CD" w14:textId="2D408474"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For the purposes of the above, the persons referred to must corroborate that their counterpart in the commercial transaction has a valid permit issued by the appropriate authority by means of a query made directly to the Secretary or the Commission, or through the platforms, technological tools and other means established for such purposes.</w:t>
            </w:r>
          </w:p>
        </w:tc>
      </w:tr>
      <w:tr w:rsidR="009849AC" w:rsidRPr="00C52435" w14:paraId="36089BCB" w14:textId="3B3B74DA" w:rsidTr="00F867DE">
        <w:tc>
          <w:tcPr>
            <w:tcW w:w="4711" w:type="dxa"/>
          </w:tcPr>
          <w:p w14:paraId="19C1ACA3"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En caso de contravenir el supuesto previsto en este artículo, la Secretaría o la Comisión en el ámbito de su competencia, deben sancionar a las personas Usuarias y Usuarias Finales, conforme al artículo 121, fracción I, inciso k) o fracción II, inciso l) de la Ley y, en su caso, hacer del conocimiento a la autoridad competente para efectos de la actualización de las conductas previstas en la Ley Federal para Prevenir y Sancionar los Delitos Cometidos en Materia de Hidrocarburos y en la demás Normatividad aplicable.</w:t>
            </w:r>
          </w:p>
        </w:tc>
        <w:tc>
          <w:tcPr>
            <w:tcW w:w="4649" w:type="dxa"/>
          </w:tcPr>
          <w:p w14:paraId="72FE9EB1" w14:textId="0CC371AF"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In the event of contravening the assumption provided for in this article, the Secretary or the Commission within the scope of its authority, must sanction the users and final users, in accordance with article 121, section I, subsection k) or section II, subsection l) of the Law and, where appropriate, inform the appropriate authority for the purposes of updating the conduct provided for in the Federal Law to Prevent and Punish Crimes Committed in the Field of Hydrocarbons and in other applicable legislation.</w:t>
            </w:r>
          </w:p>
        </w:tc>
      </w:tr>
      <w:tr w:rsidR="009849AC" w:rsidRPr="00C52435" w14:paraId="50084A28" w14:textId="2D1AE1CA" w:rsidTr="00F867DE">
        <w:tc>
          <w:tcPr>
            <w:tcW w:w="4711" w:type="dxa"/>
          </w:tcPr>
          <w:p w14:paraId="034D8587"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 xml:space="preserve">Artículo 89. </w:t>
            </w:r>
            <w:r w:rsidRPr="00837D4A">
              <w:rPr>
                <w:rFonts w:ascii="Verdana" w:hAnsi="Verdana"/>
                <w:sz w:val="16"/>
                <w:szCs w:val="16"/>
              </w:rPr>
              <w:t>El producto que resulte de la mezcla de Petrolíferos en las interfaces operativas inherentes al Transporte por medio de Ductos y que se reciba en los Sistemas de Almacenamiento vinculados a Ductos, no es considerado producto Alterado o Adulterado para efectos del artículo 111 de la Ley, el presente reglamento y demás Normatividad aplicable.</w:t>
            </w:r>
          </w:p>
        </w:tc>
        <w:tc>
          <w:tcPr>
            <w:tcW w:w="4649" w:type="dxa"/>
          </w:tcPr>
          <w:p w14:paraId="7B54D507" w14:textId="4B63EE2B"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89. </w:t>
            </w:r>
            <w:r w:rsidRPr="00837D4A">
              <w:rPr>
                <w:rFonts w:ascii="Verdana" w:hAnsi="Verdana"/>
                <w:sz w:val="16"/>
                <w:szCs w:val="16"/>
                <w:lang w:val="en-US"/>
              </w:rPr>
              <w:t>The product resulting from the mixing of Petroleum Products in the operational interfaces inherent to Transportation through Pipelines and that is received in the Storage Systems linked to Pipelines, is not considered an altered or adulterated product for the purposes of Article 111 of the Law, this regulation and other applicable legislation.</w:t>
            </w:r>
          </w:p>
        </w:tc>
      </w:tr>
      <w:tr w:rsidR="009849AC" w:rsidRPr="00C52435" w14:paraId="6B7D70C6" w14:textId="007D54CC" w:rsidTr="00F867DE">
        <w:tc>
          <w:tcPr>
            <w:tcW w:w="4711" w:type="dxa"/>
          </w:tcPr>
          <w:p w14:paraId="6911D0A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90.</w:t>
            </w:r>
            <w:r w:rsidRPr="00837D4A">
              <w:rPr>
                <w:rFonts w:ascii="Verdana" w:hAnsi="Verdana"/>
                <w:sz w:val="16"/>
                <w:szCs w:val="16"/>
              </w:rPr>
              <w:t xml:space="preserve"> Un Particular o las empresas públicas del Estado pueden ser titulares, de forma directa o indirecta a través de filiales o partes relacionadas, de distintos </w:t>
            </w:r>
            <w:r w:rsidRPr="00837D4A">
              <w:rPr>
                <w:rFonts w:ascii="Verdana" w:hAnsi="Verdana"/>
                <w:sz w:val="16"/>
                <w:szCs w:val="16"/>
              </w:rPr>
              <w:lastRenderedPageBreak/>
              <w:t>permisos a los que se refiere la Ley, en cuyo caso deben sujetarse a la Normatividad que emita la Secretaría y la Comisión, en el ámbito de sus competencias, respecto de los criterios previstos en los artículos 96, 97, 98, 102 y 118 de la Ley. Lo anterior, con el objeto de promover el desarrollo ordenado, continuo y seguro de los mercados y garantizar el Acceso Abierto No Indebidamente Discriminatorio a la prestación de los servicios, en este último caso, cuando dicha obligación sea aplicable.</w:t>
            </w:r>
          </w:p>
        </w:tc>
        <w:tc>
          <w:tcPr>
            <w:tcW w:w="4649" w:type="dxa"/>
          </w:tcPr>
          <w:p w14:paraId="632AD546" w14:textId="358D0565"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90. </w:t>
            </w:r>
            <w:r w:rsidRPr="00837D4A">
              <w:rPr>
                <w:rFonts w:ascii="Verdana" w:hAnsi="Verdana"/>
                <w:sz w:val="16"/>
                <w:szCs w:val="16"/>
                <w:lang w:val="en-US"/>
              </w:rPr>
              <w:t xml:space="preserve">A private individual or a state-owned company may hold, directly or indirectly through subsidiaries or related parties, different permits </w:t>
            </w:r>
            <w:r w:rsidRPr="00837D4A">
              <w:rPr>
                <w:rFonts w:ascii="Verdana" w:hAnsi="Verdana"/>
                <w:sz w:val="16"/>
                <w:szCs w:val="16"/>
                <w:lang w:val="en-US"/>
              </w:rPr>
              <w:lastRenderedPageBreak/>
              <w:t>referred to in the Law, in which case they must be subject to the Legislation issued by the Secretary and the Commission, within the scope of their powers, with respect to the criteria set forth in articles 96, 97, 98, 102 and 118 of the Law. The foregoing is intended to promote the orderly, continuous and secure development of markets and guarantee open access that is not unduly discriminatory to the provision of services, in the latter case, when such obligation is applicable.</w:t>
            </w:r>
          </w:p>
        </w:tc>
      </w:tr>
      <w:tr w:rsidR="009849AC" w:rsidRPr="00C52435" w14:paraId="5F67202F" w14:textId="7D44BCFD" w:rsidTr="00F867DE">
        <w:tc>
          <w:tcPr>
            <w:tcW w:w="4711" w:type="dxa"/>
          </w:tcPr>
          <w:p w14:paraId="465C564A"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lastRenderedPageBreak/>
              <w:t>Artículo 91.</w:t>
            </w:r>
            <w:r w:rsidRPr="00837D4A">
              <w:rPr>
                <w:rFonts w:ascii="Verdana" w:hAnsi="Verdana"/>
                <w:sz w:val="16"/>
                <w:szCs w:val="16"/>
              </w:rPr>
              <w:t xml:space="preserve"> La Secretaría y la Comisión, en el ámbito de sus competencias, deben expedir los permisos a los que se refiere la Ley, previo cumplimiento de los requisitos y de conformidad con los criterios previstos en la Ley, el presente reglamento, la planeación vinculante y demás Normatividad aplicable.</w:t>
            </w:r>
          </w:p>
        </w:tc>
        <w:tc>
          <w:tcPr>
            <w:tcW w:w="4649" w:type="dxa"/>
          </w:tcPr>
          <w:p w14:paraId="5113240E" w14:textId="03BE4688"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91. </w:t>
            </w:r>
            <w:r w:rsidRPr="00837D4A">
              <w:rPr>
                <w:rFonts w:ascii="Verdana" w:hAnsi="Verdana"/>
                <w:sz w:val="16"/>
                <w:szCs w:val="16"/>
                <w:lang w:val="en-US"/>
              </w:rPr>
              <w:t>The Secretary and the Commission, within the scope of their powers, must issue the permits referred to in the Law, after fulfilling the requirements and in accordance with the criteria provided for in the Law, this Regulation, binding planning and other applicable legislation.</w:t>
            </w:r>
          </w:p>
        </w:tc>
      </w:tr>
      <w:tr w:rsidR="009849AC" w:rsidRPr="00C52435" w14:paraId="53019257" w14:textId="665B0786" w:rsidTr="00F867DE">
        <w:tc>
          <w:tcPr>
            <w:tcW w:w="4711" w:type="dxa"/>
          </w:tcPr>
          <w:p w14:paraId="124A99F9"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El incumplimiento a cualquiera de los términos, condiciones y obligaciones establecidos en el título de permiso correspondiente es causal de revocación, conforme a lo previsto en el artículo 89, fracciones I y XVIII de la Ley.</w:t>
            </w:r>
          </w:p>
        </w:tc>
        <w:tc>
          <w:tcPr>
            <w:tcW w:w="4649" w:type="dxa"/>
          </w:tcPr>
          <w:p w14:paraId="4D3C82BC" w14:textId="1FC290E5"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Failure to comply with any of the terms, conditions and obligations established in the corresponding permit title is grounds for revocation, in accordance with the provisions of Article 89, Sections I and XVIII of the Law.</w:t>
            </w:r>
          </w:p>
        </w:tc>
      </w:tr>
      <w:tr w:rsidR="009849AC" w:rsidRPr="00C52435" w14:paraId="0D1AAD27" w14:textId="25704515" w:rsidTr="00F867DE">
        <w:tc>
          <w:tcPr>
            <w:tcW w:w="4711" w:type="dxa"/>
          </w:tcPr>
          <w:p w14:paraId="7E57E5E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realización de obras, adquisición de infraestructura y demás acciones que se lleven a cabo de manera previa al otorgamiento de un permiso, no otorgan preferencia, prioridad o derecho alguno para que la Secretaría o la Comisión otorguen el permiso respectivo.</w:t>
            </w:r>
          </w:p>
        </w:tc>
        <w:tc>
          <w:tcPr>
            <w:tcW w:w="4649" w:type="dxa"/>
          </w:tcPr>
          <w:p w14:paraId="5F1707D9" w14:textId="08E632B2"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execution of works, acquisition of infrastructure, and other actions carried out prior to the granting of a permit do not grant the Secretary or the Commission any preference, priority, or right to grant the respective permit.</w:t>
            </w:r>
          </w:p>
        </w:tc>
      </w:tr>
      <w:tr w:rsidR="009849AC" w:rsidRPr="00C52435" w14:paraId="3F432A38" w14:textId="11950C24" w:rsidTr="00F867DE">
        <w:tc>
          <w:tcPr>
            <w:tcW w:w="4711" w:type="dxa"/>
          </w:tcPr>
          <w:p w14:paraId="53715E8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Secretaría, o la Comisión previa opinión favorable de la Secretaría, en el ámbito de sus competencias, pueden otorgar permisos temporales a las empresas públicas del Estado para la atención de situaciones extraordinarias o de emergencia que pongan en riesgo la soberanía, seguridad, sostenibilidad, autosuficiencia y justicia energética en un momento específico o área determinada dentro del territorio nacional.</w:t>
            </w:r>
          </w:p>
        </w:tc>
        <w:tc>
          <w:tcPr>
            <w:tcW w:w="4649" w:type="dxa"/>
          </w:tcPr>
          <w:p w14:paraId="1DFF81AB" w14:textId="3F1F3025"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Secretary, or the Commission, upon receiving a favorable opinion from the Secretary, within the scope of its powers, may grant temporary permits to state-owned enterprises to address special or emergency situations that jeopardize sovereignty, security, sustainability, self-sufficiency, and energy justice at a specific time or in a specific area within the national territory.</w:t>
            </w:r>
          </w:p>
        </w:tc>
      </w:tr>
      <w:tr w:rsidR="009849AC" w:rsidRPr="00C52435" w14:paraId="2F926A33" w14:textId="6E1E46A0" w:rsidTr="00F867DE">
        <w:tc>
          <w:tcPr>
            <w:tcW w:w="4711" w:type="dxa"/>
          </w:tcPr>
          <w:p w14:paraId="0EB7786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Para la emisión de este tipo de permisos la Secretaría o la Comisión deben determinar los requisitos y plazos que se deben de cumplir.</w:t>
            </w:r>
          </w:p>
        </w:tc>
        <w:tc>
          <w:tcPr>
            <w:tcW w:w="4649" w:type="dxa"/>
          </w:tcPr>
          <w:p w14:paraId="1A88493C" w14:textId="76A1BEF3"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To issue this type of permit, the Secretary or the Commission must determine the requirements and deadlines that must be met.</w:t>
            </w:r>
          </w:p>
        </w:tc>
      </w:tr>
      <w:tr w:rsidR="009849AC" w:rsidRPr="00C52435" w14:paraId="7FA3DF6D" w14:textId="796E45DB" w:rsidTr="00F867DE">
        <w:tc>
          <w:tcPr>
            <w:tcW w:w="4711" w:type="dxa"/>
          </w:tcPr>
          <w:p w14:paraId="1F00E02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92. </w:t>
            </w:r>
            <w:r w:rsidRPr="00837D4A">
              <w:rPr>
                <w:rFonts w:ascii="Verdana" w:hAnsi="Verdana"/>
                <w:sz w:val="16"/>
                <w:szCs w:val="16"/>
              </w:rPr>
              <w:t>El Transporte y Distribución por medio de Ductos, así como el Almacenamiento de Hidrocarburos, Petrolíferos y Petroquímicos quedan sujetos a las condiciones de Acceso Abierto No Indebidamente Discriminatorio a sus instalaciones, servicios y demás obligaciones que se establezcan en la Normatividad que, conforme a los artículos 104 a 109 de la Ley, expidan la Secretaría y la Comisión, en el ámbito de sus competencias.</w:t>
            </w:r>
          </w:p>
        </w:tc>
        <w:tc>
          <w:tcPr>
            <w:tcW w:w="4649" w:type="dxa"/>
          </w:tcPr>
          <w:p w14:paraId="167AD234" w14:textId="51703C1B"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92. </w:t>
            </w:r>
            <w:r w:rsidRPr="00837D4A">
              <w:rPr>
                <w:rFonts w:ascii="Verdana" w:hAnsi="Verdana"/>
                <w:sz w:val="16"/>
                <w:szCs w:val="16"/>
                <w:lang w:val="en-US"/>
              </w:rPr>
              <w:t>Transportation and distribution through pipelines, as well as the storage of hydrocarbons, petroleum products and petrochemicals are subject to the conditions of Non-Unduly Discriminatory Open Access to their facilities, services and other obligations established in the Regulation that, in accordance with Articles 104 to 109 of the Law, are issued by the Secretary and the Commission, within the scope of their powers.</w:t>
            </w:r>
          </w:p>
        </w:tc>
      </w:tr>
      <w:tr w:rsidR="009849AC" w:rsidRPr="00C52435" w14:paraId="64C6F652" w14:textId="00DEE13F" w:rsidTr="00F867DE">
        <w:tc>
          <w:tcPr>
            <w:tcW w:w="4711" w:type="dxa"/>
          </w:tcPr>
          <w:p w14:paraId="4CBF5FB1"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93. </w:t>
            </w:r>
            <w:r w:rsidRPr="00837D4A">
              <w:rPr>
                <w:rFonts w:ascii="Verdana" w:hAnsi="Verdana"/>
                <w:sz w:val="16"/>
                <w:szCs w:val="16"/>
              </w:rPr>
              <w:t>La Secretaría y la Comisión deben determinar el plazo de la vigencia de los permisos a los que se refieren los artículos 76, fracciones I y II, 115, fracción I y 116, fracción I de la Ley, para lo cual deben realizar la evaluación de las características particulares de cada proyecto conforme a lo establecido en el artículo 81, primer párrafo de la Ley, la planeación vinculante, la Normatividad aplicable, y al menos los siguientes criterios técnicos, económicos y regulatorios:</w:t>
            </w:r>
          </w:p>
        </w:tc>
        <w:tc>
          <w:tcPr>
            <w:tcW w:w="4649" w:type="dxa"/>
          </w:tcPr>
          <w:p w14:paraId="0173E4E3" w14:textId="0423DF6E"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93. </w:t>
            </w:r>
            <w:r w:rsidRPr="00837D4A">
              <w:rPr>
                <w:rFonts w:ascii="Verdana" w:hAnsi="Verdana"/>
                <w:sz w:val="16"/>
                <w:szCs w:val="16"/>
                <w:lang w:val="en-US"/>
              </w:rPr>
              <w:t>The Secretary and the Commission must determine the term of validity of the permits referred to in articles 76, sections I and II, 115, section I and 116, section I of the Law, for which they must carry out the evaluation of the particular characteristics of each project in accordance with the provisions of article 81, first paragraph of the Law, the binding planning, the applicable legislation, and at least the following technical, economic and regulatory criteria:</w:t>
            </w:r>
          </w:p>
        </w:tc>
      </w:tr>
      <w:tr w:rsidR="009849AC" w:rsidRPr="00C52435" w14:paraId="3DF45C26" w14:textId="56209861" w:rsidTr="00F867DE">
        <w:tc>
          <w:tcPr>
            <w:tcW w:w="4711" w:type="dxa"/>
          </w:tcPr>
          <w:p w14:paraId="3FE48CA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lastRenderedPageBreak/>
              <w:t>I.</w:t>
            </w:r>
            <w:r w:rsidRPr="00837D4A">
              <w:rPr>
                <w:rFonts w:ascii="Verdana" w:hAnsi="Verdana"/>
                <w:b/>
                <w:sz w:val="16"/>
                <w:szCs w:val="16"/>
              </w:rPr>
              <w:tab/>
            </w:r>
            <w:r w:rsidRPr="00837D4A">
              <w:rPr>
                <w:rFonts w:ascii="Verdana" w:hAnsi="Verdana"/>
                <w:sz w:val="16"/>
                <w:szCs w:val="16"/>
              </w:rPr>
              <w:t>Nivel de inversión y la vida útil del proyecto;</w:t>
            </w:r>
          </w:p>
        </w:tc>
        <w:tc>
          <w:tcPr>
            <w:tcW w:w="4649" w:type="dxa"/>
          </w:tcPr>
          <w:p w14:paraId="3B82A441" w14:textId="7F439922"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Investment level and useful life of the project;</w:t>
            </w:r>
          </w:p>
        </w:tc>
      </w:tr>
      <w:tr w:rsidR="009849AC" w:rsidRPr="00C52435" w14:paraId="636E998D" w14:textId="1DE42922" w:rsidTr="00F867DE">
        <w:tc>
          <w:tcPr>
            <w:tcW w:w="4711" w:type="dxa"/>
          </w:tcPr>
          <w:p w14:paraId="627FFF3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Tipo y grado de complejidad de la infraestructura asociada;</w:t>
            </w:r>
          </w:p>
        </w:tc>
        <w:tc>
          <w:tcPr>
            <w:tcW w:w="4649" w:type="dxa"/>
          </w:tcPr>
          <w:p w14:paraId="550AB6D2" w14:textId="5F56A589"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Type and degree of complexity of the associated infrastructure;</w:t>
            </w:r>
          </w:p>
        </w:tc>
      </w:tr>
      <w:tr w:rsidR="009849AC" w:rsidRPr="00C52435" w14:paraId="62409E4D" w14:textId="17147C58" w:rsidTr="00F867DE">
        <w:tc>
          <w:tcPr>
            <w:tcW w:w="4711" w:type="dxa"/>
          </w:tcPr>
          <w:p w14:paraId="25059562"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Comportamiento del cumplimiento regulatorio de la persona solicitante en el sector hidrocarburos y en su caso del grupo de interés al que pertenece, cuando corresponda;</w:t>
            </w:r>
          </w:p>
        </w:tc>
        <w:tc>
          <w:tcPr>
            <w:tcW w:w="4649" w:type="dxa"/>
          </w:tcPr>
          <w:p w14:paraId="07F2FE95" w14:textId="1A196019"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Regulatory compliance behavior of the applicant in the hydrocarbon sector and, where applicable, the interest group to which he or she belongs, when applicable;</w:t>
            </w:r>
          </w:p>
        </w:tc>
      </w:tr>
      <w:tr w:rsidR="009849AC" w:rsidRPr="00C52435" w14:paraId="4F2FCA4F" w14:textId="101D5FF7" w:rsidTr="00F867DE">
        <w:tc>
          <w:tcPr>
            <w:tcW w:w="4711" w:type="dxa"/>
          </w:tcPr>
          <w:p w14:paraId="6405D7AC"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Mercado y región específica en la que se ubique la actividad regulada, y</w:t>
            </w:r>
          </w:p>
        </w:tc>
        <w:tc>
          <w:tcPr>
            <w:tcW w:w="4649" w:type="dxa"/>
          </w:tcPr>
          <w:p w14:paraId="51F7454B" w14:textId="5A886510"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Market and specific region in which the regulated activity is located, and</w:t>
            </w:r>
          </w:p>
        </w:tc>
      </w:tr>
      <w:tr w:rsidR="009849AC" w:rsidRPr="00C52435" w14:paraId="488AA22D" w14:textId="162A41CA" w:rsidTr="00F867DE">
        <w:tc>
          <w:tcPr>
            <w:tcW w:w="4711" w:type="dxa"/>
          </w:tcPr>
          <w:p w14:paraId="777116F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Periodo estimado de retorno de la inversión.</w:t>
            </w:r>
          </w:p>
        </w:tc>
        <w:tc>
          <w:tcPr>
            <w:tcW w:w="4649" w:type="dxa"/>
          </w:tcPr>
          <w:p w14:paraId="6E2A994E" w14:textId="3D9A09AE"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Estimated return on investment period.</w:t>
            </w:r>
          </w:p>
        </w:tc>
      </w:tr>
      <w:tr w:rsidR="009849AC" w:rsidRPr="00C52435" w14:paraId="0435C422" w14:textId="734824A4" w:rsidTr="00F867DE">
        <w:tc>
          <w:tcPr>
            <w:tcW w:w="4711" w:type="dxa"/>
          </w:tcPr>
          <w:p w14:paraId="097C64DA"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Secretaría o la Comisión, según corresponda, deben conservar la información y documentación que respalde y acredite la evaluación realizada para la determinación de la vigencia del permiso.</w:t>
            </w:r>
          </w:p>
        </w:tc>
        <w:tc>
          <w:tcPr>
            <w:tcW w:w="4649" w:type="dxa"/>
          </w:tcPr>
          <w:p w14:paraId="31B2A994" w14:textId="5B825697"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Secretary or the Commission, as appropriate, must retain the information and documentation that supports and accredits the evaluation carried out to determine the validity of the permit.</w:t>
            </w:r>
          </w:p>
        </w:tc>
      </w:tr>
      <w:tr w:rsidR="009849AC" w:rsidRPr="00C52435" w14:paraId="51513272" w14:textId="2E20724D" w:rsidTr="00F867DE">
        <w:tc>
          <w:tcPr>
            <w:tcW w:w="4711" w:type="dxa"/>
          </w:tcPr>
          <w:p w14:paraId="1DB20407"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Las vigencias máximas de los permisos que la Secretaría o la Comisión pueden otorgar son las siguientes:</w:t>
            </w:r>
          </w:p>
        </w:tc>
        <w:tc>
          <w:tcPr>
            <w:tcW w:w="4649" w:type="dxa"/>
          </w:tcPr>
          <w:p w14:paraId="2DCDBE27" w14:textId="792DE87F"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maximum validity of the permits that the Secretary or the Commission may grant are as follows:</w:t>
            </w:r>
          </w:p>
        </w:tc>
      </w:tr>
      <w:tr w:rsidR="009849AC" w:rsidRPr="00D0180E" w14:paraId="7EF26618" w14:textId="4904B143" w:rsidTr="00F867DE">
        <w:tc>
          <w:tcPr>
            <w:tcW w:w="4711" w:type="dxa"/>
          </w:tcPr>
          <w:p w14:paraId="3309183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Para Petróleo:</w:t>
            </w:r>
          </w:p>
        </w:tc>
        <w:tc>
          <w:tcPr>
            <w:tcW w:w="4649" w:type="dxa"/>
          </w:tcPr>
          <w:p w14:paraId="54114209" w14:textId="613A85CF"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rPr>
              <w:t xml:space="preserve">I. </w:t>
            </w:r>
            <w:r w:rsidRPr="00837D4A">
              <w:rPr>
                <w:rFonts w:ascii="Verdana" w:hAnsi="Verdana"/>
                <w:b/>
                <w:sz w:val="16"/>
                <w:szCs w:val="16"/>
              </w:rPr>
              <w:tab/>
            </w:r>
            <w:proofErr w:type="spellStart"/>
            <w:r w:rsidRPr="00837D4A">
              <w:rPr>
                <w:rFonts w:ascii="Verdana" w:hAnsi="Verdana"/>
                <w:sz w:val="16"/>
                <w:szCs w:val="16"/>
              </w:rPr>
              <w:t>For</w:t>
            </w:r>
            <w:proofErr w:type="spellEnd"/>
            <w:r w:rsidRPr="00837D4A">
              <w:rPr>
                <w:rFonts w:ascii="Verdana" w:hAnsi="Verdana"/>
                <w:sz w:val="16"/>
                <w:szCs w:val="16"/>
              </w:rPr>
              <w:t xml:space="preserve"> </w:t>
            </w:r>
            <w:proofErr w:type="spellStart"/>
            <w:r w:rsidRPr="00837D4A">
              <w:rPr>
                <w:rFonts w:ascii="Verdana" w:hAnsi="Verdana"/>
                <w:sz w:val="16"/>
                <w:szCs w:val="16"/>
              </w:rPr>
              <w:t>petroleum</w:t>
            </w:r>
            <w:proofErr w:type="spellEnd"/>
            <w:r w:rsidRPr="00837D4A">
              <w:rPr>
                <w:rFonts w:ascii="Verdana" w:hAnsi="Verdana"/>
                <w:sz w:val="16"/>
                <w:szCs w:val="16"/>
              </w:rPr>
              <w:t>:</w:t>
            </w:r>
          </w:p>
        </w:tc>
      </w:tr>
      <w:tr w:rsidR="009849AC" w:rsidRPr="005C1C14" w14:paraId="1F7C1F1C" w14:textId="351F4649" w:rsidTr="00F867DE">
        <w:tc>
          <w:tcPr>
            <w:tcW w:w="4711" w:type="dxa"/>
          </w:tcPr>
          <w:p w14:paraId="34439371"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Tratamiento: hasta treinta años;</w:t>
            </w:r>
          </w:p>
        </w:tc>
        <w:tc>
          <w:tcPr>
            <w:tcW w:w="4649" w:type="dxa"/>
          </w:tcPr>
          <w:p w14:paraId="0BD83165" w14:textId="110DF549"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Treatment: up to thirty years;</w:t>
            </w:r>
          </w:p>
        </w:tc>
      </w:tr>
      <w:tr w:rsidR="009849AC" w:rsidRPr="002C0F16" w14:paraId="6F30D361" w14:textId="7FEB9F1E" w:rsidTr="00F867DE">
        <w:tc>
          <w:tcPr>
            <w:tcW w:w="4711" w:type="dxa"/>
          </w:tcPr>
          <w:p w14:paraId="77C22C77"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Refinación: hasta treinta años;</w:t>
            </w:r>
          </w:p>
        </w:tc>
        <w:tc>
          <w:tcPr>
            <w:tcW w:w="4649" w:type="dxa"/>
          </w:tcPr>
          <w:p w14:paraId="0D444148" w14:textId="5F87AE5C"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Refining: up to thirty years;</w:t>
            </w:r>
          </w:p>
        </w:tc>
      </w:tr>
      <w:tr w:rsidR="009849AC" w:rsidRPr="002C0F16" w14:paraId="4DC29121" w14:textId="0E89128B" w:rsidTr="00F867DE">
        <w:tc>
          <w:tcPr>
            <w:tcW w:w="4711" w:type="dxa"/>
          </w:tcPr>
          <w:p w14:paraId="3F2A1DB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Transporte por medio de Ductos: hasta treinta años;</w:t>
            </w:r>
          </w:p>
        </w:tc>
        <w:tc>
          <w:tcPr>
            <w:tcW w:w="4649" w:type="dxa"/>
          </w:tcPr>
          <w:p w14:paraId="3B99187E" w14:textId="7338EC2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Transportation by means of Pipelines: up to thirty years;</w:t>
            </w:r>
          </w:p>
        </w:tc>
      </w:tr>
      <w:tr w:rsidR="009849AC" w:rsidRPr="002C0F16" w14:paraId="76BB8D01" w14:textId="7B4D63E0" w:rsidTr="00F867DE">
        <w:tc>
          <w:tcPr>
            <w:tcW w:w="4711" w:type="dxa"/>
          </w:tcPr>
          <w:p w14:paraId="3C4679CD"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Transporte por medios distintos a Ductos: hasta veinte años;</w:t>
            </w:r>
          </w:p>
        </w:tc>
        <w:tc>
          <w:tcPr>
            <w:tcW w:w="4649" w:type="dxa"/>
          </w:tcPr>
          <w:p w14:paraId="62FD7ADD" w14:textId="69C8106B"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Transportation by means other than Pipelines: up to twenty years;</w:t>
            </w:r>
          </w:p>
        </w:tc>
      </w:tr>
      <w:tr w:rsidR="009849AC" w:rsidRPr="002C0F16" w14:paraId="438F4A87" w14:textId="315F5F1B" w:rsidTr="00F867DE">
        <w:tc>
          <w:tcPr>
            <w:tcW w:w="4711" w:type="dxa"/>
          </w:tcPr>
          <w:p w14:paraId="141D4FE9"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Almacenamiento: hasta treinta años;</w:t>
            </w:r>
          </w:p>
        </w:tc>
        <w:tc>
          <w:tcPr>
            <w:tcW w:w="4649" w:type="dxa"/>
          </w:tcPr>
          <w:p w14:paraId="32D05B16" w14:textId="3B2AD61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Storage: up to thirty years;</w:t>
            </w:r>
          </w:p>
        </w:tc>
      </w:tr>
      <w:tr w:rsidR="009849AC" w:rsidRPr="002C0F16" w14:paraId="692BBAD5" w14:textId="7E433162" w:rsidTr="00F867DE">
        <w:tc>
          <w:tcPr>
            <w:tcW w:w="4711" w:type="dxa"/>
          </w:tcPr>
          <w:p w14:paraId="6B2AEF5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Comercialización: hasta dos años;</w:t>
            </w:r>
          </w:p>
        </w:tc>
        <w:tc>
          <w:tcPr>
            <w:tcW w:w="4649" w:type="dxa"/>
          </w:tcPr>
          <w:p w14:paraId="72CA66FF" w14:textId="756384BF"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Marketing: up to two years;</w:t>
            </w:r>
          </w:p>
        </w:tc>
      </w:tr>
      <w:tr w:rsidR="009849AC" w:rsidRPr="002C0F16" w14:paraId="4611D968" w14:textId="59DE4224" w:rsidTr="00F867DE">
        <w:tc>
          <w:tcPr>
            <w:tcW w:w="4711" w:type="dxa"/>
          </w:tcPr>
          <w:p w14:paraId="4DAB777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g)</w:t>
            </w:r>
            <w:r w:rsidRPr="00837D4A">
              <w:rPr>
                <w:rFonts w:ascii="Verdana" w:hAnsi="Verdana"/>
                <w:b/>
                <w:sz w:val="16"/>
                <w:szCs w:val="16"/>
              </w:rPr>
              <w:tab/>
            </w:r>
            <w:r w:rsidRPr="00837D4A">
              <w:rPr>
                <w:rFonts w:ascii="Verdana" w:hAnsi="Verdana"/>
                <w:sz w:val="16"/>
                <w:szCs w:val="16"/>
              </w:rPr>
              <w:t>Importación: hasta cinco años, y</w:t>
            </w:r>
          </w:p>
        </w:tc>
        <w:tc>
          <w:tcPr>
            <w:tcW w:w="4649" w:type="dxa"/>
          </w:tcPr>
          <w:p w14:paraId="3E9C4282" w14:textId="05E8782B"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g) </w:t>
            </w:r>
            <w:r w:rsidRPr="00837D4A">
              <w:rPr>
                <w:rFonts w:ascii="Verdana" w:hAnsi="Verdana"/>
                <w:b/>
                <w:sz w:val="16"/>
                <w:szCs w:val="16"/>
                <w:lang w:val="en-US"/>
              </w:rPr>
              <w:tab/>
            </w:r>
            <w:r w:rsidRPr="00837D4A">
              <w:rPr>
                <w:rFonts w:ascii="Verdana" w:hAnsi="Verdana"/>
                <w:sz w:val="16"/>
                <w:szCs w:val="16"/>
                <w:lang w:val="en-US"/>
              </w:rPr>
              <w:t>Importation: up to five years, and</w:t>
            </w:r>
          </w:p>
        </w:tc>
      </w:tr>
      <w:tr w:rsidR="009849AC" w:rsidRPr="002C0F16" w14:paraId="440066E2" w14:textId="0BB0507E" w:rsidTr="00F867DE">
        <w:tc>
          <w:tcPr>
            <w:tcW w:w="4711" w:type="dxa"/>
          </w:tcPr>
          <w:p w14:paraId="35CE3CD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h)</w:t>
            </w:r>
            <w:r w:rsidRPr="00837D4A">
              <w:rPr>
                <w:rFonts w:ascii="Verdana" w:hAnsi="Verdana"/>
                <w:b/>
                <w:sz w:val="16"/>
                <w:szCs w:val="16"/>
              </w:rPr>
              <w:tab/>
            </w:r>
            <w:r w:rsidRPr="00837D4A">
              <w:rPr>
                <w:rFonts w:ascii="Verdana" w:hAnsi="Verdana"/>
                <w:sz w:val="16"/>
                <w:szCs w:val="16"/>
              </w:rPr>
              <w:t>Exportación: hasta cinco años;</w:t>
            </w:r>
          </w:p>
        </w:tc>
        <w:tc>
          <w:tcPr>
            <w:tcW w:w="4649" w:type="dxa"/>
          </w:tcPr>
          <w:p w14:paraId="060CAE65" w14:textId="4256C8F0"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h) </w:t>
            </w:r>
            <w:r w:rsidRPr="00837D4A">
              <w:rPr>
                <w:rFonts w:ascii="Verdana" w:hAnsi="Verdana"/>
                <w:b/>
                <w:sz w:val="16"/>
                <w:szCs w:val="16"/>
                <w:lang w:val="en-US"/>
              </w:rPr>
              <w:tab/>
            </w:r>
            <w:r w:rsidRPr="00837D4A">
              <w:rPr>
                <w:rFonts w:ascii="Verdana" w:hAnsi="Verdana"/>
                <w:sz w:val="16"/>
                <w:szCs w:val="16"/>
                <w:lang w:val="en-US"/>
              </w:rPr>
              <w:t>Export: up to five years;</w:t>
            </w:r>
          </w:p>
        </w:tc>
      </w:tr>
      <w:tr w:rsidR="009849AC" w:rsidRPr="00D0180E" w14:paraId="34DD359E" w14:textId="2F8B0A25" w:rsidTr="00F867DE">
        <w:tc>
          <w:tcPr>
            <w:tcW w:w="4711" w:type="dxa"/>
          </w:tcPr>
          <w:p w14:paraId="5E77CC15"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Para Gas Natural:</w:t>
            </w:r>
          </w:p>
        </w:tc>
        <w:tc>
          <w:tcPr>
            <w:tcW w:w="4649" w:type="dxa"/>
          </w:tcPr>
          <w:p w14:paraId="041102CA" w14:textId="16676553"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rPr>
              <w:t xml:space="preserve">II. </w:t>
            </w:r>
            <w:r w:rsidRPr="00837D4A">
              <w:rPr>
                <w:rFonts w:ascii="Verdana" w:hAnsi="Verdana"/>
                <w:b/>
                <w:sz w:val="16"/>
                <w:szCs w:val="16"/>
              </w:rPr>
              <w:tab/>
            </w:r>
            <w:proofErr w:type="spellStart"/>
            <w:r w:rsidRPr="00837D4A">
              <w:rPr>
                <w:rFonts w:ascii="Verdana" w:hAnsi="Verdana"/>
                <w:sz w:val="16"/>
                <w:szCs w:val="16"/>
              </w:rPr>
              <w:t>For</w:t>
            </w:r>
            <w:proofErr w:type="spellEnd"/>
            <w:r w:rsidRPr="00837D4A">
              <w:rPr>
                <w:rFonts w:ascii="Verdana" w:hAnsi="Verdana"/>
                <w:sz w:val="16"/>
                <w:szCs w:val="16"/>
              </w:rPr>
              <w:t xml:space="preserve"> Natural Gas:</w:t>
            </w:r>
          </w:p>
        </w:tc>
      </w:tr>
      <w:tr w:rsidR="009849AC" w:rsidRPr="002C0F16" w14:paraId="413D11EF" w14:textId="1BA4AE97" w:rsidTr="00F867DE">
        <w:tc>
          <w:tcPr>
            <w:tcW w:w="4711" w:type="dxa"/>
          </w:tcPr>
          <w:p w14:paraId="255ECF22"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Procesamiento: hasta treinta años;</w:t>
            </w:r>
          </w:p>
        </w:tc>
        <w:tc>
          <w:tcPr>
            <w:tcW w:w="4649" w:type="dxa"/>
          </w:tcPr>
          <w:p w14:paraId="17CA9AF8" w14:textId="17A6D53B"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Processing: up to thirty years;</w:t>
            </w:r>
          </w:p>
        </w:tc>
      </w:tr>
      <w:tr w:rsidR="009849AC" w:rsidRPr="002C0F16" w14:paraId="332A9F72" w14:textId="52A7D3D7" w:rsidTr="00F867DE">
        <w:tc>
          <w:tcPr>
            <w:tcW w:w="4711" w:type="dxa"/>
          </w:tcPr>
          <w:p w14:paraId="5EE5DBB5"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Licuefacción: hasta veinte años;</w:t>
            </w:r>
          </w:p>
        </w:tc>
        <w:tc>
          <w:tcPr>
            <w:tcW w:w="4649" w:type="dxa"/>
          </w:tcPr>
          <w:p w14:paraId="0B76BE58" w14:textId="764EF51F"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Liquefaction: up to twenty years;</w:t>
            </w:r>
          </w:p>
        </w:tc>
      </w:tr>
      <w:tr w:rsidR="009849AC" w:rsidRPr="002C0F16" w14:paraId="2C5E2CDF" w14:textId="6570E446" w:rsidTr="00F867DE">
        <w:tc>
          <w:tcPr>
            <w:tcW w:w="4711" w:type="dxa"/>
          </w:tcPr>
          <w:p w14:paraId="0533B973"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Regasificación: hasta veinte años;</w:t>
            </w:r>
          </w:p>
        </w:tc>
        <w:tc>
          <w:tcPr>
            <w:tcW w:w="4649" w:type="dxa"/>
          </w:tcPr>
          <w:p w14:paraId="36F23503" w14:textId="4E1EAB69"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Regasification: up to twenty years;</w:t>
            </w:r>
          </w:p>
        </w:tc>
      </w:tr>
      <w:tr w:rsidR="009849AC" w:rsidRPr="002C0F16" w14:paraId="07A39257" w14:textId="04E876EE" w:rsidTr="00F867DE">
        <w:tc>
          <w:tcPr>
            <w:tcW w:w="4711" w:type="dxa"/>
          </w:tcPr>
          <w:p w14:paraId="33EC346A"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Compresión: hasta veinte años;</w:t>
            </w:r>
          </w:p>
        </w:tc>
        <w:tc>
          <w:tcPr>
            <w:tcW w:w="4649" w:type="dxa"/>
          </w:tcPr>
          <w:p w14:paraId="65273CD5" w14:textId="09A2AC72"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Compression: up to twenty years;</w:t>
            </w:r>
          </w:p>
        </w:tc>
      </w:tr>
      <w:tr w:rsidR="009849AC" w:rsidRPr="002C0F16" w14:paraId="74A6CE32" w14:textId="2D55B64F" w:rsidTr="00F867DE">
        <w:tc>
          <w:tcPr>
            <w:tcW w:w="4711" w:type="dxa"/>
          </w:tcPr>
          <w:p w14:paraId="2931C031"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Descompresión: hasta veinte años;</w:t>
            </w:r>
          </w:p>
        </w:tc>
        <w:tc>
          <w:tcPr>
            <w:tcW w:w="4649" w:type="dxa"/>
          </w:tcPr>
          <w:p w14:paraId="4C3FC300" w14:textId="40BE47F6"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Decompression: up to twenty years;</w:t>
            </w:r>
          </w:p>
        </w:tc>
      </w:tr>
      <w:tr w:rsidR="009849AC" w:rsidRPr="002C0F16" w14:paraId="6A90B46E" w14:textId="4528A9B9" w:rsidTr="00F867DE">
        <w:tc>
          <w:tcPr>
            <w:tcW w:w="4711" w:type="dxa"/>
          </w:tcPr>
          <w:p w14:paraId="3E414F6C"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Transporte por medio de Ductos: hasta treinta años;</w:t>
            </w:r>
          </w:p>
        </w:tc>
        <w:tc>
          <w:tcPr>
            <w:tcW w:w="4649" w:type="dxa"/>
          </w:tcPr>
          <w:p w14:paraId="4403E610" w14:textId="5EDB8B32"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Transportation by means of Pipelines: up to thirty years;</w:t>
            </w:r>
          </w:p>
        </w:tc>
      </w:tr>
      <w:tr w:rsidR="009849AC" w:rsidRPr="002C0F16" w14:paraId="1D710DF2" w14:textId="649DD511" w:rsidTr="00F867DE">
        <w:tc>
          <w:tcPr>
            <w:tcW w:w="4711" w:type="dxa"/>
          </w:tcPr>
          <w:p w14:paraId="4C66C3C4"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g)</w:t>
            </w:r>
            <w:r w:rsidRPr="00837D4A">
              <w:rPr>
                <w:rFonts w:ascii="Verdana" w:hAnsi="Verdana"/>
                <w:b/>
                <w:sz w:val="16"/>
                <w:szCs w:val="16"/>
              </w:rPr>
              <w:tab/>
            </w:r>
            <w:r w:rsidRPr="00837D4A">
              <w:rPr>
                <w:rFonts w:ascii="Verdana" w:hAnsi="Verdana"/>
                <w:sz w:val="16"/>
                <w:szCs w:val="16"/>
              </w:rPr>
              <w:t>Transporte por medios distintos a Ductos: hasta veinte años;</w:t>
            </w:r>
          </w:p>
        </w:tc>
        <w:tc>
          <w:tcPr>
            <w:tcW w:w="4649" w:type="dxa"/>
          </w:tcPr>
          <w:p w14:paraId="1603E48A" w14:textId="2777ED69"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g) </w:t>
            </w:r>
            <w:r w:rsidRPr="00837D4A">
              <w:rPr>
                <w:rFonts w:ascii="Verdana" w:hAnsi="Verdana"/>
                <w:b/>
                <w:sz w:val="16"/>
                <w:szCs w:val="16"/>
                <w:lang w:val="en-US"/>
              </w:rPr>
              <w:tab/>
            </w:r>
            <w:r w:rsidRPr="00837D4A">
              <w:rPr>
                <w:rFonts w:ascii="Verdana" w:hAnsi="Verdana"/>
                <w:sz w:val="16"/>
                <w:szCs w:val="16"/>
                <w:lang w:val="en-US"/>
              </w:rPr>
              <w:t>Transportation by means other than Pipelines: up to twenty years;</w:t>
            </w:r>
          </w:p>
        </w:tc>
      </w:tr>
      <w:tr w:rsidR="009849AC" w:rsidRPr="002C0F16" w14:paraId="0BF3AF93" w14:textId="2E63432C" w:rsidTr="00F867DE">
        <w:tc>
          <w:tcPr>
            <w:tcW w:w="4711" w:type="dxa"/>
          </w:tcPr>
          <w:p w14:paraId="1530CB4B"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h)</w:t>
            </w:r>
            <w:r w:rsidRPr="00837D4A">
              <w:rPr>
                <w:rFonts w:ascii="Verdana" w:hAnsi="Verdana"/>
                <w:b/>
                <w:sz w:val="16"/>
                <w:szCs w:val="16"/>
              </w:rPr>
              <w:tab/>
            </w:r>
            <w:r w:rsidRPr="00837D4A">
              <w:rPr>
                <w:rFonts w:ascii="Verdana" w:hAnsi="Verdana"/>
                <w:sz w:val="16"/>
                <w:szCs w:val="16"/>
              </w:rPr>
              <w:t>Almacenamiento: hasta treinta años;</w:t>
            </w:r>
          </w:p>
        </w:tc>
        <w:tc>
          <w:tcPr>
            <w:tcW w:w="4649" w:type="dxa"/>
          </w:tcPr>
          <w:p w14:paraId="3114BBF0" w14:textId="3EDB8C5E"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h) </w:t>
            </w:r>
            <w:r w:rsidRPr="00837D4A">
              <w:rPr>
                <w:rFonts w:ascii="Verdana" w:hAnsi="Verdana"/>
                <w:b/>
                <w:sz w:val="16"/>
                <w:szCs w:val="16"/>
                <w:lang w:val="en-US"/>
              </w:rPr>
              <w:tab/>
            </w:r>
            <w:r w:rsidRPr="00837D4A">
              <w:rPr>
                <w:rFonts w:ascii="Verdana" w:hAnsi="Verdana"/>
                <w:sz w:val="16"/>
                <w:szCs w:val="16"/>
                <w:lang w:val="en-US"/>
              </w:rPr>
              <w:t>Storage: up to thirty years;</w:t>
            </w:r>
          </w:p>
        </w:tc>
      </w:tr>
      <w:tr w:rsidR="009849AC" w:rsidRPr="002C0F16" w14:paraId="7C5F4658" w14:textId="037AAE92" w:rsidTr="00F867DE">
        <w:tc>
          <w:tcPr>
            <w:tcW w:w="4711" w:type="dxa"/>
          </w:tcPr>
          <w:p w14:paraId="1EA35E24"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Distribución por medio de Ductos: hasta treinta años;</w:t>
            </w:r>
          </w:p>
        </w:tc>
        <w:tc>
          <w:tcPr>
            <w:tcW w:w="4649" w:type="dxa"/>
          </w:tcPr>
          <w:p w14:paraId="1487DC5A" w14:textId="07A4C6F9" w:rsidR="009849AC" w:rsidRPr="00837D4A" w:rsidRDefault="009849AC" w:rsidP="009849AC">
            <w:pPr>
              <w:pStyle w:val="Texto"/>
              <w:spacing w:line="252" w:lineRule="exact"/>
              <w:ind w:firstLine="0"/>
              <w:rPr>
                <w:rFonts w:ascii="Verdana" w:hAnsi="Verdana"/>
                <w:b/>
                <w:sz w:val="16"/>
                <w:szCs w:val="16"/>
                <w:lang w:val="en-US"/>
              </w:rPr>
            </w:pPr>
            <w:proofErr w:type="spellStart"/>
            <w:r w:rsidRPr="00837D4A">
              <w:rPr>
                <w:rFonts w:ascii="Verdana" w:hAnsi="Verdana"/>
                <w:b/>
                <w:sz w:val="16"/>
                <w:szCs w:val="16"/>
                <w:lang w:val="en-US"/>
              </w:rPr>
              <w:t>i</w:t>
            </w:r>
            <w:proofErr w:type="spellEnd"/>
            <w:r w:rsidRPr="00837D4A">
              <w:rPr>
                <w:rFonts w:ascii="Verdana" w:hAnsi="Verdana"/>
                <w:b/>
                <w:sz w:val="16"/>
                <w:szCs w:val="16"/>
                <w:lang w:val="en-US"/>
              </w:rPr>
              <w:t xml:space="preserve">) </w:t>
            </w:r>
            <w:r w:rsidRPr="00837D4A">
              <w:rPr>
                <w:rFonts w:ascii="Verdana" w:hAnsi="Verdana"/>
                <w:b/>
                <w:sz w:val="16"/>
                <w:szCs w:val="16"/>
                <w:lang w:val="en-US"/>
              </w:rPr>
              <w:tab/>
            </w:r>
            <w:r w:rsidRPr="00837D4A">
              <w:rPr>
                <w:rFonts w:ascii="Verdana" w:hAnsi="Verdana"/>
                <w:sz w:val="16"/>
                <w:szCs w:val="16"/>
                <w:lang w:val="en-US"/>
              </w:rPr>
              <w:t>Distribution through Pipelines: up to thirty years;</w:t>
            </w:r>
          </w:p>
        </w:tc>
      </w:tr>
      <w:tr w:rsidR="009849AC" w:rsidRPr="002C0F16" w14:paraId="0C588526" w14:textId="3B1D1CD9" w:rsidTr="00F867DE">
        <w:tc>
          <w:tcPr>
            <w:tcW w:w="4711" w:type="dxa"/>
          </w:tcPr>
          <w:p w14:paraId="6E1A91CE"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j)</w:t>
            </w:r>
            <w:r w:rsidRPr="00837D4A">
              <w:rPr>
                <w:rFonts w:ascii="Verdana" w:hAnsi="Verdana"/>
                <w:b/>
                <w:sz w:val="16"/>
                <w:szCs w:val="16"/>
              </w:rPr>
              <w:tab/>
            </w:r>
            <w:r w:rsidRPr="00837D4A">
              <w:rPr>
                <w:rFonts w:ascii="Verdana" w:hAnsi="Verdana"/>
                <w:sz w:val="16"/>
                <w:szCs w:val="16"/>
              </w:rPr>
              <w:t>Distribución por medios distintos a Ductos: hasta veinte años;</w:t>
            </w:r>
          </w:p>
        </w:tc>
        <w:tc>
          <w:tcPr>
            <w:tcW w:w="4649" w:type="dxa"/>
          </w:tcPr>
          <w:p w14:paraId="66E8747D" w14:textId="5771E33F"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j) </w:t>
            </w:r>
            <w:r w:rsidRPr="00837D4A">
              <w:rPr>
                <w:rFonts w:ascii="Verdana" w:hAnsi="Verdana"/>
                <w:b/>
                <w:sz w:val="16"/>
                <w:szCs w:val="16"/>
                <w:lang w:val="en-US"/>
              </w:rPr>
              <w:tab/>
            </w:r>
            <w:r w:rsidRPr="00837D4A">
              <w:rPr>
                <w:rFonts w:ascii="Verdana" w:hAnsi="Verdana"/>
                <w:sz w:val="16"/>
                <w:szCs w:val="16"/>
                <w:lang w:val="en-US"/>
              </w:rPr>
              <w:t>Distribution by means other than Pipelines: up to twenty years;</w:t>
            </w:r>
          </w:p>
        </w:tc>
      </w:tr>
      <w:tr w:rsidR="009849AC" w:rsidRPr="002C0F16" w14:paraId="72E8B4A7" w14:textId="7EC9E06F" w:rsidTr="00F867DE">
        <w:tc>
          <w:tcPr>
            <w:tcW w:w="4711" w:type="dxa"/>
          </w:tcPr>
          <w:p w14:paraId="3AF8B947"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k)</w:t>
            </w:r>
            <w:r w:rsidRPr="00837D4A">
              <w:rPr>
                <w:rFonts w:ascii="Verdana" w:hAnsi="Verdana"/>
                <w:b/>
                <w:sz w:val="16"/>
                <w:szCs w:val="16"/>
              </w:rPr>
              <w:tab/>
            </w:r>
            <w:r w:rsidRPr="00837D4A">
              <w:rPr>
                <w:rFonts w:ascii="Verdana" w:hAnsi="Verdana"/>
                <w:sz w:val="16"/>
                <w:szCs w:val="16"/>
              </w:rPr>
              <w:t>Expendio al Público: hasta veinte años;</w:t>
            </w:r>
          </w:p>
        </w:tc>
        <w:tc>
          <w:tcPr>
            <w:tcW w:w="4649" w:type="dxa"/>
          </w:tcPr>
          <w:p w14:paraId="21B3FA49" w14:textId="4727C8D8"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k) </w:t>
            </w:r>
            <w:r w:rsidRPr="00837D4A">
              <w:rPr>
                <w:rFonts w:ascii="Verdana" w:hAnsi="Verdana"/>
                <w:b/>
                <w:sz w:val="16"/>
                <w:szCs w:val="16"/>
                <w:lang w:val="en-US"/>
              </w:rPr>
              <w:tab/>
            </w:r>
            <w:r w:rsidRPr="00837D4A">
              <w:rPr>
                <w:rFonts w:ascii="Verdana" w:hAnsi="Verdana"/>
                <w:sz w:val="16"/>
                <w:szCs w:val="16"/>
                <w:lang w:val="en-US"/>
              </w:rPr>
              <w:t>Public Sale: up to twenty years;</w:t>
            </w:r>
          </w:p>
        </w:tc>
      </w:tr>
      <w:tr w:rsidR="009849AC" w:rsidRPr="002C0F16" w14:paraId="6CB59331" w14:textId="10959505" w:rsidTr="00F867DE">
        <w:tc>
          <w:tcPr>
            <w:tcW w:w="4711" w:type="dxa"/>
          </w:tcPr>
          <w:p w14:paraId="64675F08"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lastRenderedPageBreak/>
              <w:t>l)</w:t>
            </w:r>
            <w:r w:rsidRPr="00837D4A">
              <w:rPr>
                <w:rFonts w:ascii="Verdana" w:hAnsi="Verdana"/>
                <w:b/>
                <w:sz w:val="16"/>
                <w:szCs w:val="16"/>
              </w:rPr>
              <w:tab/>
            </w:r>
            <w:r w:rsidRPr="00837D4A">
              <w:rPr>
                <w:rFonts w:ascii="Verdana" w:hAnsi="Verdana"/>
                <w:sz w:val="16"/>
                <w:szCs w:val="16"/>
              </w:rPr>
              <w:t>Comercialización: hasta dos años;</w:t>
            </w:r>
          </w:p>
        </w:tc>
        <w:tc>
          <w:tcPr>
            <w:tcW w:w="4649" w:type="dxa"/>
          </w:tcPr>
          <w:p w14:paraId="558293C4" w14:textId="5C50E1F4"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l) </w:t>
            </w:r>
            <w:r w:rsidRPr="00837D4A">
              <w:rPr>
                <w:rFonts w:ascii="Verdana" w:hAnsi="Verdana"/>
                <w:b/>
                <w:sz w:val="16"/>
                <w:szCs w:val="16"/>
                <w:lang w:val="en-US"/>
              </w:rPr>
              <w:tab/>
            </w:r>
            <w:r w:rsidRPr="00837D4A">
              <w:rPr>
                <w:rFonts w:ascii="Verdana" w:hAnsi="Verdana"/>
                <w:sz w:val="16"/>
                <w:szCs w:val="16"/>
                <w:lang w:val="en-US"/>
              </w:rPr>
              <w:t>Marketing: up to two years;</w:t>
            </w:r>
          </w:p>
        </w:tc>
      </w:tr>
      <w:tr w:rsidR="009849AC" w:rsidRPr="002C0F16" w14:paraId="06AA73D0" w14:textId="0D6BB3D4" w:rsidTr="00F867DE">
        <w:tc>
          <w:tcPr>
            <w:tcW w:w="4711" w:type="dxa"/>
          </w:tcPr>
          <w:p w14:paraId="0CDC9E1D"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m)</w:t>
            </w:r>
            <w:r w:rsidRPr="00837D4A">
              <w:rPr>
                <w:rFonts w:ascii="Verdana" w:hAnsi="Verdana"/>
                <w:b/>
                <w:sz w:val="16"/>
                <w:szCs w:val="16"/>
              </w:rPr>
              <w:tab/>
            </w:r>
            <w:r w:rsidRPr="00837D4A">
              <w:rPr>
                <w:rFonts w:ascii="Verdana" w:hAnsi="Verdana"/>
                <w:sz w:val="16"/>
                <w:szCs w:val="16"/>
              </w:rPr>
              <w:t>Importación: hasta cinco años, y</w:t>
            </w:r>
          </w:p>
        </w:tc>
        <w:tc>
          <w:tcPr>
            <w:tcW w:w="4649" w:type="dxa"/>
          </w:tcPr>
          <w:p w14:paraId="77DE7586" w14:textId="25F94587"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m) </w:t>
            </w:r>
            <w:r w:rsidRPr="00837D4A">
              <w:rPr>
                <w:rFonts w:ascii="Verdana" w:hAnsi="Verdana"/>
                <w:b/>
                <w:sz w:val="16"/>
                <w:szCs w:val="16"/>
                <w:lang w:val="en-US"/>
              </w:rPr>
              <w:tab/>
            </w:r>
            <w:r w:rsidRPr="00837D4A">
              <w:rPr>
                <w:rFonts w:ascii="Verdana" w:hAnsi="Verdana"/>
                <w:sz w:val="16"/>
                <w:szCs w:val="16"/>
                <w:lang w:val="en-US"/>
              </w:rPr>
              <w:t>Importation: up to five years, and</w:t>
            </w:r>
          </w:p>
        </w:tc>
      </w:tr>
      <w:tr w:rsidR="009849AC" w:rsidRPr="002C0F16" w14:paraId="5DAB359B" w14:textId="2C4F87A6" w:rsidTr="00F867DE">
        <w:tc>
          <w:tcPr>
            <w:tcW w:w="4711" w:type="dxa"/>
          </w:tcPr>
          <w:p w14:paraId="5429ABA8"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n)</w:t>
            </w:r>
            <w:r w:rsidRPr="00837D4A">
              <w:rPr>
                <w:rFonts w:ascii="Verdana" w:hAnsi="Verdana"/>
                <w:b/>
                <w:sz w:val="16"/>
                <w:szCs w:val="16"/>
              </w:rPr>
              <w:tab/>
            </w:r>
            <w:r w:rsidRPr="00837D4A">
              <w:rPr>
                <w:rFonts w:ascii="Verdana" w:hAnsi="Verdana"/>
                <w:sz w:val="16"/>
                <w:szCs w:val="16"/>
              </w:rPr>
              <w:t>Exportación: hasta cinco años;</w:t>
            </w:r>
          </w:p>
        </w:tc>
        <w:tc>
          <w:tcPr>
            <w:tcW w:w="4649" w:type="dxa"/>
          </w:tcPr>
          <w:p w14:paraId="0213A96D" w14:textId="66ED177E"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n) </w:t>
            </w:r>
            <w:r w:rsidRPr="00837D4A">
              <w:rPr>
                <w:rFonts w:ascii="Verdana" w:hAnsi="Verdana"/>
                <w:b/>
                <w:sz w:val="16"/>
                <w:szCs w:val="16"/>
                <w:lang w:val="en-US"/>
              </w:rPr>
              <w:tab/>
            </w:r>
            <w:r w:rsidRPr="00837D4A">
              <w:rPr>
                <w:rFonts w:ascii="Verdana" w:hAnsi="Verdana"/>
                <w:sz w:val="16"/>
                <w:szCs w:val="16"/>
                <w:lang w:val="en-US"/>
              </w:rPr>
              <w:t>Export: up to five years;</w:t>
            </w:r>
          </w:p>
        </w:tc>
      </w:tr>
      <w:tr w:rsidR="009849AC" w:rsidRPr="002C0F16" w14:paraId="4E4EC901" w14:textId="47575DF7" w:rsidTr="00F867DE">
        <w:tc>
          <w:tcPr>
            <w:tcW w:w="4711" w:type="dxa"/>
          </w:tcPr>
          <w:p w14:paraId="0C345287"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Para Gas Licuado de Petróleo:</w:t>
            </w:r>
          </w:p>
        </w:tc>
        <w:tc>
          <w:tcPr>
            <w:tcW w:w="4649" w:type="dxa"/>
          </w:tcPr>
          <w:p w14:paraId="7DBC9C61" w14:textId="30AB399B"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For Liquefied Petroleum Gas:</w:t>
            </w:r>
          </w:p>
        </w:tc>
      </w:tr>
      <w:tr w:rsidR="009849AC" w:rsidRPr="002C0F16" w14:paraId="789B9E3E" w14:textId="47C8294D" w:rsidTr="00F867DE">
        <w:tc>
          <w:tcPr>
            <w:tcW w:w="4711" w:type="dxa"/>
          </w:tcPr>
          <w:p w14:paraId="3F81FB89"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Almacenamiento: hasta treinta años;</w:t>
            </w:r>
          </w:p>
        </w:tc>
        <w:tc>
          <w:tcPr>
            <w:tcW w:w="4649" w:type="dxa"/>
          </w:tcPr>
          <w:p w14:paraId="64E556BF" w14:textId="33CDBA50"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Storage: up to thirty years;</w:t>
            </w:r>
          </w:p>
        </w:tc>
      </w:tr>
      <w:tr w:rsidR="009849AC" w:rsidRPr="002C0F16" w14:paraId="382F8B76" w14:textId="4D3DCD2E" w:rsidTr="00F867DE">
        <w:tc>
          <w:tcPr>
            <w:tcW w:w="4711" w:type="dxa"/>
          </w:tcPr>
          <w:p w14:paraId="0512AACF"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Transporte por medio de Ductos: hasta treinta años;</w:t>
            </w:r>
          </w:p>
        </w:tc>
        <w:tc>
          <w:tcPr>
            <w:tcW w:w="4649" w:type="dxa"/>
          </w:tcPr>
          <w:p w14:paraId="56F537D9" w14:textId="76716214"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Transportation by means of Pipelines: up to thirty years;</w:t>
            </w:r>
          </w:p>
        </w:tc>
      </w:tr>
      <w:tr w:rsidR="009849AC" w:rsidRPr="002C0F16" w14:paraId="665D3F36" w14:textId="186C6D61" w:rsidTr="00F867DE">
        <w:tc>
          <w:tcPr>
            <w:tcW w:w="4711" w:type="dxa"/>
          </w:tcPr>
          <w:p w14:paraId="1305F38E"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Transporte por medios distintos a Ductos: hasta quince años;</w:t>
            </w:r>
          </w:p>
        </w:tc>
        <w:tc>
          <w:tcPr>
            <w:tcW w:w="4649" w:type="dxa"/>
          </w:tcPr>
          <w:p w14:paraId="12ACEB26" w14:textId="76CCA35B"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Transportation by means other than Pipelines: up to fifteen years;</w:t>
            </w:r>
          </w:p>
        </w:tc>
      </w:tr>
      <w:tr w:rsidR="009849AC" w:rsidRPr="002C0F16" w14:paraId="4A4F8397" w14:textId="0EC5BA2B" w:rsidTr="00F867DE">
        <w:tc>
          <w:tcPr>
            <w:tcW w:w="4711" w:type="dxa"/>
          </w:tcPr>
          <w:p w14:paraId="224EF667"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Distribución por medio de Ductos: hasta treinta años;</w:t>
            </w:r>
          </w:p>
        </w:tc>
        <w:tc>
          <w:tcPr>
            <w:tcW w:w="4649" w:type="dxa"/>
          </w:tcPr>
          <w:p w14:paraId="5283C149" w14:textId="23A3D146"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Distribution through Pipelines: up to thirty years;</w:t>
            </w:r>
          </w:p>
        </w:tc>
      </w:tr>
      <w:tr w:rsidR="009849AC" w:rsidRPr="002C0F16" w14:paraId="062BB5BE" w14:textId="239AFA2B" w:rsidTr="00F867DE">
        <w:tc>
          <w:tcPr>
            <w:tcW w:w="4711" w:type="dxa"/>
          </w:tcPr>
          <w:p w14:paraId="67781E35"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Distribución por medios distintos a Ductos: hasta quince años;</w:t>
            </w:r>
          </w:p>
        </w:tc>
        <w:tc>
          <w:tcPr>
            <w:tcW w:w="4649" w:type="dxa"/>
          </w:tcPr>
          <w:p w14:paraId="0B7C05A3" w14:textId="5EA01D9B"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Distribution by means other than Pipelines: up to fifteen years;</w:t>
            </w:r>
          </w:p>
        </w:tc>
      </w:tr>
      <w:tr w:rsidR="009849AC" w:rsidRPr="002C0F16" w14:paraId="3DD6F5F0" w14:textId="2FF0F2AA" w:rsidTr="00F867DE">
        <w:tc>
          <w:tcPr>
            <w:tcW w:w="4711" w:type="dxa"/>
          </w:tcPr>
          <w:p w14:paraId="55E7EF5F"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Distribución mediante planta: hasta veinte años;</w:t>
            </w:r>
          </w:p>
        </w:tc>
        <w:tc>
          <w:tcPr>
            <w:tcW w:w="4649" w:type="dxa"/>
          </w:tcPr>
          <w:p w14:paraId="499A434B" w14:textId="3F9C9F79"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Distribution by plant: up to twenty years;</w:t>
            </w:r>
          </w:p>
        </w:tc>
      </w:tr>
      <w:tr w:rsidR="009849AC" w:rsidRPr="002C0F16" w14:paraId="4834B42B" w14:textId="3E145E6D" w:rsidTr="00F867DE">
        <w:tc>
          <w:tcPr>
            <w:tcW w:w="4711" w:type="dxa"/>
          </w:tcPr>
          <w:p w14:paraId="7AA5DDA3"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g)</w:t>
            </w:r>
            <w:r w:rsidRPr="00837D4A">
              <w:rPr>
                <w:rFonts w:ascii="Verdana" w:hAnsi="Verdana"/>
                <w:b/>
                <w:sz w:val="16"/>
                <w:szCs w:val="16"/>
              </w:rPr>
              <w:tab/>
            </w:r>
            <w:r w:rsidRPr="00837D4A">
              <w:rPr>
                <w:rFonts w:ascii="Verdana" w:hAnsi="Verdana"/>
                <w:sz w:val="16"/>
                <w:szCs w:val="16"/>
              </w:rPr>
              <w:t>Expendio al Público: hasta veinte años;</w:t>
            </w:r>
          </w:p>
        </w:tc>
        <w:tc>
          <w:tcPr>
            <w:tcW w:w="4649" w:type="dxa"/>
          </w:tcPr>
          <w:p w14:paraId="2E774EB2" w14:textId="769EA877"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g) </w:t>
            </w:r>
            <w:r w:rsidRPr="00837D4A">
              <w:rPr>
                <w:rFonts w:ascii="Verdana" w:hAnsi="Verdana"/>
                <w:b/>
                <w:sz w:val="16"/>
                <w:szCs w:val="16"/>
                <w:lang w:val="en-US"/>
              </w:rPr>
              <w:tab/>
            </w:r>
            <w:r w:rsidRPr="00837D4A">
              <w:rPr>
                <w:rFonts w:ascii="Verdana" w:hAnsi="Verdana"/>
                <w:sz w:val="16"/>
                <w:szCs w:val="16"/>
                <w:lang w:val="en-US"/>
              </w:rPr>
              <w:t>Public Sale: up to twenty years;</w:t>
            </w:r>
          </w:p>
        </w:tc>
      </w:tr>
      <w:tr w:rsidR="009849AC" w:rsidRPr="002C0F16" w14:paraId="367C3D0A" w14:textId="3212C700" w:rsidTr="00F867DE">
        <w:tc>
          <w:tcPr>
            <w:tcW w:w="4711" w:type="dxa"/>
          </w:tcPr>
          <w:p w14:paraId="28F0BC80"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h)</w:t>
            </w:r>
            <w:r w:rsidRPr="00837D4A">
              <w:rPr>
                <w:rFonts w:ascii="Verdana" w:hAnsi="Verdana"/>
                <w:b/>
                <w:sz w:val="16"/>
                <w:szCs w:val="16"/>
              </w:rPr>
              <w:tab/>
            </w:r>
            <w:r w:rsidRPr="00837D4A">
              <w:rPr>
                <w:rFonts w:ascii="Verdana" w:hAnsi="Verdana"/>
                <w:sz w:val="16"/>
                <w:szCs w:val="16"/>
              </w:rPr>
              <w:t>Despacho para Autoconsumo: hasta quince años;</w:t>
            </w:r>
          </w:p>
        </w:tc>
        <w:tc>
          <w:tcPr>
            <w:tcW w:w="4649" w:type="dxa"/>
          </w:tcPr>
          <w:p w14:paraId="156917A8" w14:textId="0A35CD38"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h) </w:t>
            </w:r>
            <w:r w:rsidRPr="00837D4A">
              <w:rPr>
                <w:rFonts w:ascii="Verdana" w:hAnsi="Verdana"/>
                <w:b/>
                <w:sz w:val="16"/>
                <w:szCs w:val="16"/>
                <w:lang w:val="en-US"/>
              </w:rPr>
              <w:tab/>
            </w:r>
            <w:r w:rsidRPr="00837D4A">
              <w:rPr>
                <w:rFonts w:ascii="Verdana" w:hAnsi="Verdana"/>
                <w:bCs/>
                <w:sz w:val="16"/>
                <w:szCs w:val="16"/>
                <w:lang w:val="en-US"/>
              </w:rPr>
              <w:t>Dispatch</w:t>
            </w:r>
            <w:r w:rsidRPr="00837D4A">
              <w:rPr>
                <w:rFonts w:ascii="Verdana" w:hAnsi="Verdana"/>
                <w:sz w:val="16"/>
                <w:szCs w:val="16"/>
                <w:lang w:val="en-US"/>
              </w:rPr>
              <w:t xml:space="preserve"> for Self-Consumption: up to fifteen years;</w:t>
            </w:r>
          </w:p>
        </w:tc>
      </w:tr>
      <w:tr w:rsidR="009849AC" w:rsidRPr="002C0F16" w14:paraId="10155C30" w14:textId="7BBD3489" w:rsidTr="00F867DE">
        <w:tc>
          <w:tcPr>
            <w:tcW w:w="4711" w:type="dxa"/>
          </w:tcPr>
          <w:p w14:paraId="573E677F"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Comercialización: hasta dos años;</w:t>
            </w:r>
          </w:p>
        </w:tc>
        <w:tc>
          <w:tcPr>
            <w:tcW w:w="4649" w:type="dxa"/>
          </w:tcPr>
          <w:p w14:paraId="249567ED" w14:textId="2391B3A1" w:rsidR="009849AC" w:rsidRPr="00837D4A" w:rsidRDefault="009849AC" w:rsidP="009849AC">
            <w:pPr>
              <w:pStyle w:val="Texto"/>
              <w:spacing w:line="252" w:lineRule="exact"/>
              <w:ind w:firstLine="0"/>
              <w:rPr>
                <w:rFonts w:ascii="Verdana" w:hAnsi="Verdana"/>
                <w:b/>
                <w:sz w:val="16"/>
                <w:szCs w:val="16"/>
                <w:lang w:val="en-US"/>
              </w:rPr>
            </w:pPr>
            <w:proofErr w:type="spellStart"/>
            <w:r w:rsidRPr="00837D4A">
              <w:rPr>
                <w:rFonts w:ascii="Verdana" w:hAnsi="Verdana"/>
                <w:b/>
                <w:sz w:val="16"/>
                <w:szCs w:val="16"/>
                <w:lang w:val="en-US"/>
              </w:rPr>
              <w:t>i</w:t>
            </w:r>
            <w:proofErr w:type="spellEnd"/>
            <w:r w:rsidRPr="00837D4A">
              <w:rPr>
                <w:rFonts w:ascii="Verdana" w:hAnsi="Verdana"/>
                <w:b/>
                <w:sz w:val="16"/>
                <w:szCs w:val="16"/>
                <w:lang w:val="en-US"/>
              </w:rPr>
              <w:t xml:space="preserve">) </w:t>
            </w:r>
            <w:r w:rsidRPr="00837D4A">
              <w:rPr>
                <w:rFonts w:ascii="Verdana" w:hAnsi="Verdana"/>
                <w:b/>
                <w:sz w:val="16"/>
                <w:szCs w:val="16"/>
                <w:lang w:val="en-US"/>
              </w:rPr>
              <w:tab/>
            </w:r>
            <w:r w:rsidRPr="00837D4A">
              <w:rPr>
                <w:rFonts w:ascii="Verdana" w:hAnsi="Verdana"/>
                <w:sz w:val="16"/>
                <w:szCs w:val="16"/>
                <w:lang w:val="en-US"/>
              </w:rPr>
              <w:t>Marketing: up to two years;</w:t>
            </w:r>
          </w:p>
        </w:tc>
      </w:tr>
      <w:tr w:rsidR="009849AC" w:rsidRPr="002C0F16" w14:paraId="72BE86F7" w14:textId="12C0C831" w:rsidTr="00F867DE">
        <w:tc>
          <w:tcPr>
            <w:tcW w:w="4711" w:type="dxa"/>
          </w:tcPr>
          <w:p w14:paraId="1E7E6A3E"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j)</w:t>
            </w:r>
            <w:r w:rsidRPr="00837D4A">
              <w:rPr>
                <w:rFonts w:ascii="Verdana" w:hAnsi="Verdana"/>
                <w:b/>
                <w:sz w:val="16"/>
                <w:szCs w:val="16"/>
              </w:rPr>
              <w:tab/>
            </w:r>
            <w:r w:rsidRPr="00837D4A">
              <w:rPr>
                <w:rFonts w:ascii="Verdana" w:hAnsi="Verdana"/>
                <w:sz w:val="16"/>
                <w:szCs w:val="16"/>
              </w:rPr>
              <w:t>Importación: hasta cinco años, y</w:t>
            </w:r>
          </w:p>
        </w:tc>
        <w:tc>
          <w:tcPr>
            <w:tcW w:w="4649" w:type="dxa"/>
          </w:tcPr>
          <w:p w14:paraId="08CCB228" w14:textId="27A4F929"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j) </w:t>
            </w:r>
            <w:r w:rsidRPr="00837D4A">
              <w:rPr>
                <w:rFonts w:ascii="Verdana" w:hAnsi="Verdana"/>
                <w:b/>
                <w:sz w:val="16"/>
                <w:szCs w:val="16"/>
                <w:lang w:val="en-US"/>
              </w:rPr>
              <w:tab/>
            </w:r>
            <w:r w:rsidRPr="00837D4A">
              <w:rPr>
                <w:rFonts w:ascii="Verdana" w:hAnsi="Verdana"/>
                <w:sz w:val="16"/>
                <w:szCs w:val="16"/>
                <w:lang w:val="en-US"/>
              </w:rPr>
              <w:t>Importation: up to five years, and</w:t>
            </w:r>
          </w:p>
        </w:tc>
      </w:tr>
      <w:tr w:rsidR="009849AC" w:rsidRPr="002C0F16" w14:paraId="217B84C8" w14:textId="2FDB5E68" w:rsidTr="00F867DE">
        <w:tc>
          <w:tcPr>
            <w:tcW w:w="4711" w:type="dxa"/>
          </w:tcPr>
          <w:p w14:paraId="124CA5A6"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k)</w:t>
            </w:r>
            <w:r w:rsidRPr="00837D4A">
              <w:rPr>
                <w:rFonts w:ascii="Verdana" w:hAnsi="Verdana"/>
                <w:b/>
                <w:sz w:val="16"/>
                <w:szCs w:val="16"/>
              </w:rPr>
              <w:tab/>
            </w:r>
            <w:r w:rsidRPr="00837D4A">
              <w:rPr>
                <w:rFonts w:ascii="Verdana" w:hAnsi="Verdana"/>
                <w:sz w:val="16"/>
                <w:szCs w:val="16"/>
              </w:rPr>
              <w:t>Exportación: hasta cinco años;</w:t>
            </w:r>
          </w:p>
        </w:tc>
        <w:tc>
          <w:tcPr>
            <w:tcW w:w="4649" w:type="dxa"/>
          </w:tcPr>
          <w:p w14:paraId="0DC18643" w14:textId="7EF77348"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k) </w:t>
            </w:r>
            <w:r w:rsidRPr="00837D4A">
              <w:rPr>
                <w:rFonts w:ascii="Verdana" w:hAnsi="Verdana"/>
                <w:b/>
                <w:sz w:val="16"/>
                <w:szCs w:val="16"/>
                <w:lang w:val="en-US"/>
              </w:rPr>
              <w:tab/>
            </w:r>
            <w:r w:rsidRPr="00837D4A">
              <w:rPr>
                <w:rFonts w:ascii="Verdana" w:hAnsi="Verdana"/>
                <w:sz w:val="16"/>
                <w:szCs w:val="16"/>
                <w:lang w:val="en-US"/>
              </w:rPr>
              <w:t>Export: up to five years;</w:t>
            </w:r>
          </w:p>
        </w:tc>
      </w:tr>
      <w:tr w:rsidR="009849AC" w:rsidRPr="002C0F16" w14:paraId="4A0F75E8" w14:textId="544880F2" w:rsidTr="00F867DE">
        <w:tc>
          <w:tcPr>
            <w:tcW w:w="4711" w:type="dxa"/>
          </w:tcPr>
          <w:p w14:paraId="1AA1BE55"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Para Petrolíferos diferentes al Gas Licuado de Petróleo:</w:t>
            </w:r>
          </w:p>
        </w:tc>
        <w:tc>
          <w:tcPr>
            <w:tcW w:w="4649" w:type="dxa"/>
          </w:tcPr>
          <w:p w14:paraId="7C879E20" w14:textId="760E85BE"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For Petroleum Products other than Liquefied Petroleum Gas:</w:t>
            </w:r>
          </w:p>
        </w:tc>
      </w:tr>
      <w:tr w:rsidR="009849AC" w:rsidRPr="002C0F16" w14:paraId="65982DFA" w14:textId="79CA2623" w:rsidTr="00F867DE">
        <w:tc>
          <w:tcPr>
            <w:tcW w:w="4711" w:type="dxa"/>
          </w:tcPr>
          <w:p w14:paraId="4E2B1381"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Formulación: hasta cinco años;</w:t>
            </w:r>
          </w:p>
        </w:tc>
        <w:tc>
          <w:tcPr>
            <w:tcW w:w="4649" w:type="dxa"/>
          </w:tcPr>
          <w:p w14:paraId="5B25F7F0" w14:textId="262DBC24"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Formulation: up to five years;</w:t>
            </w:r>
          </w:p>
        </w:tc>
      </w:tr>
      <w:tr w:rsidR="009849AC" w:rsidRPr="002C0F16" w14:paraId="28AD7FC7" w14:textId="5AA58954" w:rsidTr="00F867DE">
        <w:tc>
          <w:tcPr>
            <w:tcW w:w="4711" w:type="dxa"/>
          </w:tcPr>
          <w:p w14:paraId="1A28C22A"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Almacenamiento: hasta treinta años;</w:t>
            </w:r>
          </w:p>
        </w:tc>
        <w:tc>
          <w:tcPr>
            <w:tcW w:w="4649" w:type="dxa"/>
          </w:tcPr>
          <w:p w14:paraId="1B923EE0" w14:textId="43977D21"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Storage: up to thirty years;</w:t>
            </w:r>
          </w:p>
        </w:tc>
      </w:tr>
      <w:tr w:rsidR="009849AC" w:rsidRPr="002C0F16" w14:paraId="164A0635" w14:textId="5482C54E" w:rsidTr="00F867DE">
        <w:tc>
          <w:tcPr>
            <w:tcW w:w="4711" w:type="dxa"/>
          </w:tcPr>
          <w:p w14:paraId="230BC9D0"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Transporte por medio de Ductos: hasta treinta años;</w:t>
            </w:r>
          </w:p>
        </w:tc>
        <w:tc>
          <w:tcPr>
            <w:tcW w:w="4649" w:type="dxa"/>
          </w:tcPr>
          <w:p w14:paraId="37D82870" w14:textId="25A842D7"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Transportation by means of Pipelines: up to thirty years;</w:t>
            </w:r>
          </w:p>
        </w:tc>
      </w:tr>
      <w:tr w:rsidR="009849AC" w:rsidRPr="002C0F16" w14:paraId="261698DF" w14:textId="7A942820" w:rsidTr="00F867DE">
        <w:tc>
          <w:tcPr>
            <w:tcW w:w="4711" w:type="dxa"/>
          </w:tcPr>
          <w:p w14:paraId="30DCEA55"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Transporte por medios distintos a Ductos: hasta quince años;</w:t>
            </w:r>
          </w:p>
        </w:tc>
        <w:tc>
          <w:tcPr>
            <w:tcW w:w="4649" w:type="dxa"/>
          </w:tcPr>
          <w:p w14:paraId="20D452DB" w14:textId="43190281"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Transportation by means other than Pipelines: up to fifteen years;</w:t>
            </w:r>
          </w:p>
        </w:tc>
      </w:tr>
      <w:tr w:rsidR="009849AC" w:rsidRPr="002C0F16" w14:paraId="52272120" w14:textId="0C7B5F86" w:rsidTr="00F867DE">
        <w:tc>
          <w:tcPr>
            <w:tcW w:w="4711" w:type="dxa"/>
          </w:tcPr>
          <w:p w14:paraId="4BF35C42"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Distribución por medios distintos a Ductos: hasta treinta años;</w:t>
            </w:r>
          </w:p>
        </w:tc>
        <w:tc>
          <w:tcPr>
            <w:tcW w:w="4649" w:type="dxa"/>
          </w:tcPr>
          <w:p w14:paraId="740C417D" w14:textId="3181E4E2"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Distribution by means other than Pipelines: up to thirty years;</w:t>
            </w:r>
          </w:p>
        </w:tc>
      </w:tr>
      <w:tr w:rsidR="009849AC" w:rsidRPr="002C0F16" w14:paraId="107AB3A8" w14:textId="15393FE4" w:rsidTr="00F867DE">
        <w:tc>
          <w:tcPr>
            <w:tcW w:w="4711" w:type="dxa"/>
          </w:tcPr>
          <w:p w14:paraId="422E979A"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Expendio al Público: hasta veinte años;</w:t>
            </w:r>
          </w:p>
        </w:tc>
        <w:tc>
          <w:tcPr>
            <w:tcW w:w="4649" w:type="dxa"/>
          </w:tcPr>
          <w:p w14:paraId="5054BB75" w14:textId="5F3679A8"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Public Sale: up to twenty years;</w:t>
            </w:r>
          </w:p>
        </w:tc>
      </w:tr>
      <w:tr w:rsidR="009849AC" w:rsidRPr="002C0F16" w14:paraId="2DDEF286" w14:textId="5DA86918" w:rsidTr="00F867DE">
        <w:tc>
          <w:tcPr>
            <w:tcW w:w="4711" w:type="dxa"/>
          </w:tcPr>
          <w:p w14:paraId="4E4AFD29"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g)</w:t>
            </w:r>
            <w:r w:rsidRPr="00837D4A">
              <w:rPr>
                <w:rFonts w:ascii="Verdana" w:hAnsi="Verdana"/>
                <w:b/>
                <w:sz w:val="16"/>
                <w:szCs w:val="16"/>
              </w:rPr>
              <w:tab/>
            </w:r>
            <w:r w:rsidRPr="00837D4A">
              <w:rPr>
                <w:rFonts w:ascii="Verdana" w:hAnsi="Verdana"/>
                <w:sz w:val="16"/>
                <w:szCs w:val="16"/>
              </w:rPr>
              <w:t>Despacho para Autoconsumo: hasta quince años;</w:t>
            </w:r>
          </w:p>
        </w:tc>
        <w:tc>
          <w:tcPr>
            <w:tcW w:w="4649" w:type="dxa"/>
          </w:tcPr>
          <w:p w14:paraId="20D4A5A6" w14:textId="4D51A453"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g) </w:t>
            </w:r>
            <w:r w:rsidRPr="00837D4A">
              <w:rPr>
                <w:rFonts w:ascii="Verdana" w:hAnsi="Verdana"/>
                <w:b/>
                <w:sz w:val="16"/>
                <w:szCs w:val="16"/>
                <w:lang w:val="en-US"/>
              </w:rPr>
              <w:tab/>
            </w:r>
            <w:r w:rsidRPr="00837D4A">
              <w:rPr>
                <w:rFonts w:ascii="Verdana" w:hAnsi="Verdana"/>
                <w:sz w:val="16"/>
                <w:szCs w:val="16"/>
                <w:lang w:val="en-US"/>
              </w:rPr>
              <w:t>Dispatch for Self-Consumption: up to fifteen years;</w:t>
            </w:r>
          </w:p>
        </w:tc>
      </w:tr>
      <w:tr w:rsidR="009849AC" w:rsidRPr="002C0F16" w14:paraId="03CDDBBE" w14:textId="18E3824F" w:rsidTr="00F867DE">
        <w:tc>
          <w:tcPr>
            <w:tcW w:w="4711" w:type="dxa"/>
          </w:tcPr>
          <w:p w14:paraId="5D0AD658"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h)</w:t>
            </w:r>
            <w:r w:rsidRPr="00837D4A">
              <w:rPr>
                <w:rFonts w:ascii="Verdana" w:hAnsi="Verdana"/>
                <w:b/>
                <w:sz w:val="16"/>
                <w:szCs w:val="16"/>
              </w:rPr>
              <w:tab/>
            </w:r>
            <w:r w:rsidRPr="00837D4A">
              <w:rPr>
                <w:rFonts w:ascii="Verdana" w:hAnsi="Verdana"/>
                <w:sz w:val="16"/>
                <w:szCs w:val="16"/>
              </w:rPr>
              <w:t>Comercialización: hasta dos años;</w:t>
            </w:r>
          </w:p>
        </w:tc>
        <w:tc>
          <w:tcPr>
            <w:tcW w:w="4649" w:type="dxa"/>
          </w:tcPr>
          <w:p w14:paraId="6B0AE298" w14:textId="5FAB6CC6"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h) </w:t>
            </w:r>
            <w:r w:rsidRPr="00837D4A">
              <w:rPr>
                <w:rFonts w:ascii="Verdana" w:hAnsi="Verdana"/>
                <w:b/>
                <w:sz w:val="16"/>
                <w:szCs w:val="16"/>
                <w:lang w:val="en-US"/>
              </w:rPr>
              <w:tab/>
            </w:r>
            <w:r w:rsidRPr="00837D4A">
              <w:rPr>
                <w:rFonts w:ascii="Verdana" w:hAnsi="Verdana"/>
                <w:sz w:val="16"/>
                <w:szCs w:val="16"/>
                <w:lang w:val="en-US"/>
              </w:rPr>
              <w:t>Marketing: up to two years;</w:t>
            </w:r>
          </w:p>
        </w:tc>
      </w:tr>
      <w:tr w:rsidR="009849AC" w:rsidRPr="002C0F16" w14:paraId="72854851" w14:textId="1BA3CF84" w:rsidTr="00F867DE">
        <w:tc>
          <w:tcPr>
            <w:tcW w:w="4711" w:type="dxa"/>
          </w:tcPr>
          <w:p w14:paraId="0B73BF79"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Importación: hasta cinco años, y</w:t>
            </w:r>
          </w:p>
        </w:tc>
        <w:tc>
          <w:tcPr>
            <w:tcW w:w="4649" w:type="dxa"/>
          </w:tcPr>
          <w:p w14:paraId="765CBCD0" w14:textId="4E78CDD5" w:rsidR="009849AC" w:rsidRPr="00837D4A" w:rsidRDefault="009849AC" w:rsidP="009849AC">
            <w:pPr>
              <w:pStyle w:val="Texto"/>
              <w:spacing w:line="252" w:lineRule="exact"/>
              <w:ind w:firstLine="0"/>
              <w:rPr>
                <w:rFonts w:ascii="Verdana" w:hAnsi="Verdana"/>
                <w:b/>
                <w:sz w:val="16"/>
                <w:szCs w:val="16"/>
                <w:lang w:val="en-US"/>
              </w:rPr>
            </w:pPr>
            <w:proofErr w:type="spellStart"/>
            <w:r w:rsidRPr="00837D4A">
              <w:rPr>
                <w:rFonts w:ascii="Verdana" w:hAnsi="Verdana"/>
                <w:b/>
                <w:sz w:val="16"/>
                <w:szCs w:val="16"/>
                <w:lang w:val="en-US"/>
              </w:rPr>
              <w:t>i</w:t>
            </w:r>
            <w:proofErr w:type="spellEnd"/>
            <w:r w:rsidRPr="00837D4A">
              <w:rPr>
                <w:rFonts w:ascii="Verdana" w:hAnsi="Verdana"/>
                <w:b/>
                <w:sz w:val="16"/>
                <w:szCs w:val="16"/>
                <w:lang w:val="en-US"/>
              </w:rPr>
              <w:t xml:space="preserve">) </w:t>
            </w:r>
            <w:r w:rsidRPr="00837D4A">
              <w:rPr>
                <w:rFonts w:ascii="Verdana" w:hAnsi="Verdana"/>
                <w:b/>
                <w:sz w:val="16"/>
                <w:szCs w:val="16"/>
                <w:lang w:val="en-US"/>
              </w:rPr>
              <w:tab/>
            </w:r>
            <w:r w:rsidRPr="00837D4A">
              <w:rPr>
                <w:rFonts w:ascii="Verdana" w:hAnsi="Verdana"/>
                <w:sz w:val="16"/>
                <w:szCs w:val="16"/>
                <w:lang w:val="en-US"/>
              </w:rPr>
              <w:t>Importation: up to five years, and</w:t>
            </w:r>
          </w:p>
        </w:tc>
      </w:tr>
      <w:tr w:rsidR="009849AC" w:rsidRPr="002C0F16" w14:paraId="33387FFF" w14:textId="5EC46ACD" w:rsidTr="00F867DE">
        <w:tc>
          <w:tcPr>
            <w:tcW w:w="4711" w:type="dxa"/>
          </w:tcPr>
          <w:p w14:paraId="7E343093" w14:textId="77777777" w:rsidR="009849AC" w:rsidRPr="00837D4A" w:rsidRDefault="009849AC" w:rsidP="009849AC">
            <w:pPr>
              <w:pStyle w:val="Texto"/>
              <w:spacing w:line="252" w:lineRule="exact"/>
              <w:ind w:firstLine="0"/>
              <w:rPr>
                <w:rFonts w:ascii="Verdana" w:hAnsi="Verdana"/>
                <w:sz w:val="16"/>
                <w:szCs w:val="16"/>
              </w:rPr>
            </w:pPr>
            <w:r w:rsidRPr="00837D4A">
              <w:rPr>
                <w:rFonts w:ascii="Verdana" w:hAnsi="Verdana"/>
                <w:b/>
                <w:sz w:val="16"/>
                <w:szCs w:val="16"/>
              </w:rPr>
              <w:t>j)</w:t>
            </w:r>
            <w:r w:rsidRPr="00837D4A">
              <w:rPr>
                <w:rFonts w:ascii="Verdana" w:hAnsi="Verdana"/>
                <w:b/>
                <w:sz w:val="16"/>
                <w:szCs w:val="16"/>
              </w:rPr>
              <w:tab/>
            </w:r>
            <w:r w:rsidRPr="00837D4A">
              <w:rPr>
                <w:rFonts w:ascii="Verdana" w:hAnsi="Verdana"/>
                <w:sz w:val="16"/>
                <w:szCs w:val="16"/>
              </w:rPr>
              <w:t>Exportación: hasta cinco años;</w:t>
            </w:r>
          </w:p>
        </w:tc>
        <w:tc>
          <w:tcPr>
            <w:tcW w:w="4649" w:type="dxa"/>
          </w:tcPr>
          <w:p w14:paraId="30422266" w14:textId="0B7D3F6C" w:rsidR="009849AC" w:rsidRPr="00837D4A" w:rsidRDefault="009849AC" w:rsidP="009849AC">
            <w:pPr>
              <w:pStyle w:val="Texto"/>
              <w:spacing w:line="252" w:lineRule="exact"/>
              <w:ind w:firstLine="0"/>
              <w:rPr>
                <w:rFonts w:ascii="Verdana" w:hAnsi="Verdana"/>
                <w:b/>
                <w:sz w:val="16"/>
                <w:szCs w:val="16"/>
                <w:lang w:val="en-US"/>
              </w:rPr>
            </w:pPr>
            <w:r w:rsidRPr="00837D4A">
              <w:rPr>
                <w:rFonts w:ascii="Verdana" w:hAnsi="Verdana"/>
                <w:b/>
                <w:sz w:val="16"/>
                <w:szCs w:val="16"/>
                <w:lang w:val="en-US"/>
              </w:rPr>
              <w:t xml:space="preserve">j) </w:t>
            </w:r>
            <w:r w:rsidRPr="00837D4A">
              <w:rPr>
                <w:rFonts w:ascii="Verdana" w:hAnsi="Verdana"/>
                <w:b/>
                <w:sz w:val="16"/>
                <w:szCs w:val="16"/>
                <w:lang w:val="en-US"/>
              </w:rPr>
              <w:tab/>
            </w:r>
            <w:r w:rsidRPr="00837D4A">
              <w:rPr>
                <w:rFonts w:ascii="Verdana" w:hAnsi="Verdana"/>
                <w:sz w:val="16"/>
                <w:szCs w:val="16"/>
                <w:lang w:val="en-US"/>
              </w:rPr>
              <w:t>Export: up to five years;</w:t>
            </w:r>
          </w:p>
        </w:tc>
      </w:tr>
      <w:tr w:rsidR="009849AC" w:rsidRPr="00D0180E" w14:paraId="3FEE1833" w14:textId="742E7A6B" w:rsidTr="00F867DE">
        <w:tc>
          <w:tcPr>
            <w:tcW w:w="4711" w:type="dxa"/>
          </w:tcPr>
          <w:p w14:paraId="19933893"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Para Petroquímicos:</w:t>
            </w:r>
          </w:p>
        </w:tc>
        <w:tc>
          <w:tcPr>
            <w:tcW w:w="4649" w:type="dxa"/>
          </w:tcPr>
          <w:p w14:paraId="361B5322" w14:textId="5EF6B9F2"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rPr>
              <w:t xml:space="preserve">V. </w:t>
            </w:r>
            <w:r w:rsidRPr="00837D4A">
              <w:rPr>
                <w:rFonts w:ascii="Verdana" w:hAnsi="Verdana"/>
                <w:b/>
                <w:sz w:val="16"/>
                <w:szCs w:val="16"/>
              </w:rPr>
              <w:tab/>
            </w:r>
            <w:proofErr w:type="spellStart"/>
            <w:r w:rsidRPr="00837D4A">
              <w:rPr>
                <w:rFonts w:ascii="Verdana" w:hAnsi="Verdana"/>
                <w:sz w:val="16"/>
                <w:szCs w:val="16"/>
              </w:rPr>
              <w:t>For</w:t>
            </w:r>
            <w:proofErr w:type="spellEnd"/>
            <w:r w:rsidRPr="00837D4A">
              <w:rPr>
                <w:rFonts w:ascii="Verdana" w:hAnsi="Verdana"/>
                <w:sz w:val="16"/>
                <w:szCs w:val="16"/>
              </w:rPr>
              <w:t xml:space="preserve"> </w:t>
            </w:r>
            <w:proofErr w:type="spellStart"/>
            <w:r w:rsidRPr="00837D4A">
              <w:rPr>
                <w:rFonts w:ascii="Verdana" w:hAnsi="Verdana"/>
                <w:sz w:val="16"/>
                <w:szCs w:val="16"/>
              </w:rPr>
              <w:t>Petrochemicals</w:t>
            </w:r>
            <w:proofErr w:type="spellEnd"/>
            <w:r w:rsidRPr="00837D4A">
              <w:rPr>
                <w:rFonts w:ascii="Verdana" w:hAnsi="Verdana"/>
                <w:sz w:val="16"/>
                <w:szCs w:val="16"/>
              </w:rPr>
              <w:t>:</w:t>
            </w:r>
          </w:p>
        </w:tc>
      </w:tr>
      <w:tr w:rsidR="009849AC" w:rsidRPr="002C0F16" w14:paraId="5C17DAC5" w14:textId="5151075B" w:rsidTr="00F867DE">
        <w:tc>
          <w:tcPr>
            <w:tcW w:w="4711" w:type="dxa"/>
          </w:tcPr>
          <w:p w14:paraId="2C232A3B"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Almacenamiento: hasta treinta años;</w:t>
            </w:r>
          </w:p>
        </w:tc>
        <w:tc>
          <w:tcPr>
            <w:tcW w:w="4649" w:type="dxa"/>
          </w:tcPr>
          <w:p w14:paraId="2C941D41" w14:textId="3A485D18"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Storage: up to thirty years;</w:t>
            </w:r>
          </w:p>
        </w:tc>
      </w:tr>
      <w:tr w:rsidR="009849AC" w:rsidRPr="002C0F16" w14:paraId="5685FA96" w14:textId="49330F5E" w:rsidTr="00F867DE">
        <w:tc>
          <w:tcPr>
            <w:tcW w:w="4711" w:type="dxa"/>
          </w:tcPr>
          <w:p w14:paraId="1A30A065"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rPr>
              <w:lastRenderedPageBreak/>
              <w:t>b)</w:t>
            </w:r>
            <w:r w:rsidRPr="00837D4A">
              <w:rPr>
                <w:rFonts w:ascii="Verdana" w:hAnsi="Verdana"/>
                <w:b/>
                <w:sz w:val="16"/>
                <w:szCs w:val="16"/>
              </w:rPr>
              <w:tab/>
            </w:r>
            <w:r w:rsidRPr="00837D4A">
              <w:rPr>
                <w:rFonts w:ascii="Verdana" w:hAnsi="Verdana"/>
                <w:sz w:val="16"/>
                <w:szCs w:val="16"/>
              </w:rPr>
              <w:t>Transporte por medio de Ductos: hasta treinta años;</w:t>
            </w:r>
          </w:p>
        </w:tc>
        <w:tc>
          <w:tcPr>
            <w:tcW w:w="4649" w:type="dxa"/>
          </w:tcPr>
          <w:p w14:paraId="46E1714C" w14:textId="052835F1"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Transportation by means of Pipelines: up to thirty years;</w:t>
            </w:r>
          </w:p>
        </w:tc>
      </w:tr>
      <w:tr w:rsidR="009849AC" w:rsidRPr="002C0F16" w14:paraId="170FFB30" w14:textId="51C45CE1" w:rsidTr="00F867DE">
        <w:tc>
          <w:tcPr>
            <w:tcW w:w="4711" w:type="dxa"/>
          </w:tcPr>
          <w:p w14:paraId="6CEB39A9"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Transporte por medios distintos a Ductos: hasta quince años;</w:t>
            </w:r>
          </w:p>
        </w:tc>
        <w:tc>
          <w:tcPr>
            <w:tcW w:w="4649" w:type="dxa"/>
          </w:tcPr>
          <w:p w14:paraId="752C0FA2" w14:textId="72AA1851"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Transportation by means other than Pipelines: up to fifteen years;</w:t>
            </w:r>
          </w:p>
        </w:tc>
      </w:tr>
      <w:tr w:rsidR="009849AC" w:rsidRPr="002C0F16" w14:paraId="13AF3794" w14:textId="3660A945" w:rsidTr="00F867DE">
        <w:tc>
          <w:tcPr>
            <w:tcW w:w="4711" w:type="dxa"/>
          </w:tcPr>
          <w:p w14:paraId="5B241E67"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Comercialización: hasta dos años;</w:t>
            </w:r>
          </w:p>
        </w:tc>
        <w:tc>
          <w:tcPr>
            <w:tcW w:w="4649" w:type="dxa"/>
          </w:tcPr>
          <w:p w14:paraId="354A99CD" w14:textId="0273DD5B"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Marketing: up to two years;</w:t>
            </w:r>
          </w:p>
        </w:tc>
      </w:tr>
      <w:tr w:rsidR="009849AC" w:rsidRPr="002C0F16" w14:paraId="7D0A4B8E" w14:textId="09FB303B" w:rsidTr="00F867DE">
        <w:tc>
          <w:tcPr>
            <w:tcW w:w="4711" w:type="dxa"/>
          </w:tcPr>
          <w:p w14:paraId="43F3DA4B"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Importación: hasta cinco años, y</w:t>
            </w:r>
          </w:p>
        </w:tc>
        <w:tc>
          <w:tcPr>
            <w:tcW w:w="4649" w:type="dxa"/>
          </w:tcPr>
          <w:p w14:paraId="04760A59" w14:textId="31FF9E56"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Importation: up to five years, and</w:t>
            </w:r>
          </w:p>
        </w:tc>
      </w:tr>
      <w:tr w:rsidR="009849AC" w:rsidRPr="002C0F16" w14:paraId="475AD39D" w14:textId="3F77B3AD" w:rsidTr="00F867DE">
        <w:tc>
          <w:tcPr>
            <w:tcW w:w="4711" w:type="dxa"/>
          </w:tcPr>
          <w:p w14:paraId="0F017E66"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Exportación: hasta cinco años;</w:t>
            </w:r>
          </w:p>
        </w:tc>
        <w:tc>
          <w:tcPr>
            <w:tcW w:w="4649" w:type="dxa"/>
          </w:tcPr>
          <w:p w14:paraId="6E34C84A" w14:textId="366A1E84"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Export: up to five years;</w:t>
            </w:r>
          </w:p>
        </w:tc>
      </w:tr>
      <w:tr w:rsidR="009849AC" w:rsidRPr="002C0F16" w14:paraId="5FE400BA" w14:textId="79F4B3EB" w:rsidTr="00F867DE">
        <w:tc>
          <w:tcPr>
            <w:tcW w:w="4711" w:type="dxa"/>
          </w:tcPr>
          <w:p w14:paraId="02750F99" w14:textId="77777777" w:rsidR="009849AC" w:rsidRPr="00837D4A" w:rsidRDefault="009849AC" w:rsidP="009849AC">
            <w:pPr>
              <w:pStyle w:val="Texto"/>
              <w:spacing w:after="88" w:line="217"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Para la gestión de Sistemas Integrados: hasta treinta años.</w:t>
            </w:r>
          </w:p>
        </w:tc>
        <w:tc>
          <w:tcPr>
            <w:tcW w:w="4649" w:type="dxa"/>
          </w:tcPr>
          <w:p w14:paraId="3BA73416" w14:textId="20216D32"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For the management of Integrated Systems: up to thirty years.</w:t>
            </w:r>
          </w:p>
        </w:tc>
      </w:tr>
      <w:tr w:rsidR="009849AC" w:rsidRPr="002C0F16" w14:paraId="21F1BEDD" w14:textId="1885F142" w:rsidTr="00F867DE">
        <w:tc>
          <w:tcPr>
            <w:tcW w:w="4711" w:type="dxa"/>
          </w:tcPr>
          <w:p w14:paraId="48FCB67D"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sz w:val="16"/>
                <w:szCs w:val="16"/>
              </w:rPr>
              <w:t>No se puede otorgar prórrogas a la vigencia del permiso, por lo que en caso de que la persona Permisionaria requiera continuar con la prestación del servicio, puede ingresar una nueva solicitud y cumplir los requisitos conforme al trámite que corresponda para la obtención de un nuevo permiso.</w:t>
            </w:r>
          </w:p>
        </w:tc>
        <w:tc>
          <w:tcPr>
            <w:tcW w:w="4649" w:type="dxa"/>
          </w:tcPr>
          <w:p w14:paraId="65852C78" w14:textId="3D66D654" w:rsidR="009849AC" w:rsidRPr="00837D4A" w:rsidRDefault="009849AC" w:rsidP="009849AC">
            <w:pPr>
              <w:pStyle w:val="Texto"/>
              <w:spacing w:after="88" w:line="217" w:lineRule="exact"/>
              <w:ind w:firstLine="0"/>
              <w:rPr>
                <w:rFonts w:ascii="Verdana" w:hAnsi="Verdana"/>
                <w:sz w:val="16"/>
                <w:szCs w:val="16"/>
                <w:lang w:val="en-US"/>
              </w:rPr>
            </w:pPr>
            <w:r w:rsidRPr="00837D4A">
              <w:rPr>
                <w:rFonts w:ascii="Verdana" w:hAnsi="Verdana"/>
                <w:sz w:val="16"/>
                <w:szCs w:val="16"/>
                <w:lang w:val="en-US"/>
              </w:rPr>
              <w:t>Permit validity extensions cannot be granted, so if the permit holder needs to continue providing the service, they can submit a new application and comply with the requirements according to the corresponding procedure for obtaining a new permit.</w:t>
            </w:r>
          </w:p>
        </w:tc>
      </w:tr>
      <w:tr w:rsidR="009849AC" w:rsidRPr="002C0F16" w14:paraId="2F52A72E" w14:textId="4107D9FA" w:rsidTr="00F867DE">
        <w:tc>
          <w:tcPr>
            <w:tcW w:w="4711" w:type="dxa"/>
          </w:tcPr>
          <w:p w14:paraId="5233FBE0"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sz w:val="16"/>
                <w:szCs w:val="16"/>
              </w:rPr>
              <w:t>Para efecto del párrafo anterior, con la finalidad de no afectar la prestación de los servicios a que se refiere este reglamento, la persona Permisionaria puede solicitar a la Secretaría o la Comisión, según corresponda, la expedición de un nuevo permiso para realizar las actividades que se llevan a cabo con el permiso vigente, hasta un año antes del vencimiento del plazo establecido en el permiso, en los términos del artículo 143 de este reglamento.</w:t>
            </w:r>
          </w:p>
        </w:tc>
        <w:tc>
          <w:tcPr>
            <w:tcW w:w="4649" w:type="dxa"/>
          </w:tcPr>
          <w:p w14:paraId="65421240" w14:textId="55576CC6" w:rsidR="009849AC" w:rsidRPr="00837D4A" w:rsidRDefault="009849AC" w:rsidP="009849AC">
            <w:pPr>
              <w:pStyle w:val="Texto"/>
              <w:spacing w:after="88" w:line="217" w:lineRule="exact"/>
              <w:ind w:firstLine="0"/>
              <w:rPr>
                <w:rFonts w:ascii="Verdana" w:hAnsi="Verdana"/>
                <w:sz w:val="16"/>
                <w:szCs w:val="16"/>
                <w:lang w:val="en-US"/>
              </w:rPr>
            </w:pPr>
            <w:r w:rsidRPr="00837D4A">
              <w:rPr>
                <w:rFonts w:ascii="Verdana" w:hAnsi="Verdana"/>
                <w:sz w:val="16"/>
                <w:szCs w:val="16"/>
                <w:lang w:val="en-US"/>
              </w:rPr>
              <w:t>For the purposes of the preceding paragraph, in order not to affect the provision of the services referred to in this regulation, the Permit Holder may request the Secretary or the Commission, as appropriate, to issue a new permit to carry out the activities carried out with the current permit, up to one year before the expiration of the term established in the permit, in accordance with the terms of Article 143 of this regulation.</w:t>
            </w:r>
          </w:p>
        </w:tc>
      </w:tr>
      <w:tr w:rsidR="009849AC" w:rsidRPr="002C0F16" w14:paraId="2128CC25" w14:textId="32C31790" w:rsidTr="00F867DE">
        <w:tc>
          <w:tcPr>
            <w:tcW w:w="4711" w:type="dxa"/>
          </w:tcPr>
          <w:p w14:paraId="10E44B48"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rPr>
              <w:t xml:space="preserve">Artículo 94. </w:t>
            </w:r>
            <w:r w:rsidRPr="00837D4A">
              <w:rPr>
                <w:rFonts w:ascii="Verdana" w:hAnsi="Verdana"/>
                <w:sz w:val="16"/>
                <w:szCs w:val="16"/>
              </w:rPr>
              <w:t>Los Sistemas de Transporte por medio de Ductos y Almacenamiento de Gas Natural, Petrolíferos y Petroquímicos solo tienen el carácter de Usos Propios cuando la Comisión así lo determine conforme a la Normatividad que al efecto se emita de conformidad con el artículo 104, quinto párrafo  de la Ley.</w:t>
            </w:r>
          </w:p>
        </w:tc>
        <w:tc>
          <w:tcPr>
            <w:tcW w:w="4649" w:type="dxa"/>
          </w:tcPr>
          <w:p w14:paraId="016BC1E3" w14:textId="0EFA830B"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Article 94. </w:t>
            </w:r>
            <w:r w:rsidRPr="00837D4A">
              <w:rPr>
                <w:rFonts w:ascii="Verdana" w:hAnsi="Verdana"/>
                <w:sz w:val="16"/>
                <w:szCs w:val="16"/>
                <w:lang w:val="en-US"/>
              </w:rPr>
              <w:t>Transportation Systems through Pipelines and Storage of Natural Gas, Petroleum Products and Petrochemicals only have the character of Own Uses when the Commission so determines in accordance with the Regulation issued for this purpose in accordance with Article 104, fifth paragraph of the Law.</w:t>
            </w:r>
          </w:p>
        </w:tc>
      </w:tr>
      <w:tr w:rsidR="009849AC" w:rsidRPr="00D0180E" w14:paraId="03E1E171" w14:textId="1DF9DB63" w:rsidTr="00F867DE">
        <w:tc>
          <w:tcPr>
            <w:tcW w:w="4711" w:type="dxa"/>
          </w:tcPr>
          <w:p w14:paraId="352C69C1" w14:textId="77777777" w:rsidR="009849AC" w:rsidRPr="00837D4A" w:rsidRDefault="009849AC" w:rsidP="009849AC">
            <w:pPr>
              <w:pStyle w:val="Texto"/>
              <w:spacing w:after="88" w:line="217" w:lineRule="exact"/>
              <w:ind w:firstLine="0"/>
              <w:jc w:val="center"/>
              <w:rPr>
                <w:rFonts w:ascii="Verdana" w:hAnsi="Verdana"/>
                <w:b/>
                <w:sz w:val="16"/>
                <w:szCs w:val="16"/>
              </w:rPr>
            </w:pPr>
            <w:r w:rsidRPr="00837D4A">
              <w:rPr>
                <w:rFonts w:ascii="Verdana" w:hAnsi="Verdana"/>
                <w:b/>
                <w:sz w:val="16"/>
                <w:szCs w:val="16"/>
              </w:rPr>
              <w:t>Capítulo II</w:t>
            </w:r>
          </w:p>
        </w:tc>
        <w:tc>
          <w:tcPr>
            <w:tcW w:w="4649" w:type="dxa"/>
          </w:tcPr>
          <w:p w14:paraId="1562281B" w14:textId="0F2C3070" w:rsidR="009849AC" w:rsidRPr="00837D4A" w:rsidRDefault="009849AC" w:rsidP="009849AC">
            <w:pPr>
              <w:pStyle w:val="Texto"/>
              <w:spacing w:after="88" w:line="217" w:lineRule="exact"/>
              <w:ind w:firstLine="0"/>
              <w:jc w:val="center"/>
              <w:rPr>
                <w:rFonts w:ascii="Verdana" w:hAnsi="Verdana"/>
                <w:b/>
                <w:sz w:val="16"/>
                <w:szCs w:val="16"/>
                <w:lang w:val="en-US"/>
              </w:rPr>
            </w:pPr>
            <w:r w:rsidRPr="00837D4A">
              <w:rPr>
                <w:rFonts w:ascii="Verdana" w:hAnsi="Verdana"/>
                <w:b/>
                <w:sz w:val="16"/>
                <w:szCs w:val="16"/>
                <w:lang w:val="en-US"/>
              </w:rPr>
              <w:t>Chapter II</w:t>
            </w:r>
          </w:p>
        </w:tc>
      </w:tr>
      <w:tr w:rsidR="009849AC" w:rsidRPr="00D0180E" w14:paraId="07C9A257" w14:textId="71A94931" w:rsidTr="00F867DE">
        <w:tc>
          <w:tcPr>
            <w:tcW w:w="4711" w:type="dxa"/>
          </w:tcPr>
          <w:p w14:paraId="0B9254BE" w14:textId="77777777" w:rsidR="009849AC" w:rsidRPr="00837D4A" w:rsidRDefault="009849AC" w:rsidP="009849AC">
            <w:pPr>
              <w:pStyle w:val="Texto"/>
              <w:spacing w:after="88" w:line="217" w:lineRule="exact"/>
              <w:ind w:firstLine="0"/>
              <w:jc w:val="center"/>
              <w:rPr>
                <w:rFonts w:ascii="Verdana" w:hAnsi="Verdana"/>
                <w:b/>
                <w:sz w:val="16"/>
                <w:szCs w:val="16"/>
              </w:rPr>
            </w:pPr>
            <w:r w:rsidRPr="00837D4A">
              <w:rPr>
                <w:rFonts w:ascii="Verdana" w:hAnsi="Verdana"/>
                <w:b/>
                <w:sz w:val="16"/>
                <w:szCs w:val="16"/>
              </w:rPr>
              <w:t>Del Alcance de las Actividades Permisionadas</w:t>
            </w:r>
          </w:p>
        </w:tc>
        <w:tc>
          <w:tcPr>
            <w:tcW w:w="4649" w:type="dxa"/>
          </w:tcPr>
          <w:p w14:paraId="0669D9E6" w14:textId="2D4AF827" w:rsidR="009849AC" w:rsidRPr="00837D4A" w:rsidRDefault="009849AC" w:rsidP="009849AC">
            <w:pPr>
              <w:pStyle w:val="Texto"/>
              <w:spacing w:after="88" w:line="217" w:lineRule="exact"/>
              <w:ind w:firstLine="0"/>
              <w:jc w:val="center"/>
              <w:rPr>
                <w:rFonts w:ascii="Verdana" w:hAnsi="Verdana"/>
                <w:b/>
                <w:sz w:val="16"/>
                <w:szCs w:val="16"/>
                <w:lang w:val="en-US"/>
              </w:rPr>
            </w:pPr>
            <w:r w:rsidRPr="00837D4A">
              <w:rPr>
                <w:rFonts w:ascii="Verdana" w:hAnsi="Verdana"/>
                <w:b/>
                <w:sz w:val="16"/>
                <w:szCs w:val="16"/>
                <w:lang w:val="en-US"/>
              </w:rPr>
              <w:t>Scope of Permitted Activities</w:t>
            </w:r>
          </w:p>
        </w:tc>
      </w:tr>
      <w:tr w:rsidR="009849AC" w:rsidRPr="002C0F16" w14:paraId="2002740A" w14:textId="25D8F671" w:rsidTr="00F867DE">
        <w:tc>
          <w:tcPr>
            <w:tcW w:w="4711" w:type="dxa"/>
          </w:tcPr>
          <w:p w14:paraId="5D65A89D"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rPr>
              <w:t xml:space="preserve">Artículo 95. </w:t>
            </w:r>
            <w:r w:rsidRPr="00837D4A">
              <w:rPr>
                <w:rFonts w:ascii="Verdana" w:hAnsi="Verdana"/>
                <w:sz w:val="16"/>
                <w:szCs w:val="16"/>
              </w:rPr>
              <w:t>La Secretaría y la Comisión pueden establecer las modalidades de los permisos en la Normatividad que para tal efecto emitan.</w:t>
            </w:r>
          </w:p>
        </w:tc>
        <w:tc>
          <w:tcPr>
            <w:tcW w:w="4649" w:type="dxa"/>
          </w:tcPr>
          <w:p w14:paraId="0F731523" w14:textId="68A680A7"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Article 95. </w:t>
            </w:r>
            <w:r w:rsidRPr="00837D4A">
              <w:rPr>
                <w:rFonts w:ascii="Verdana" w:hAnsi="Verdana"/>
                <w:sz w:val="16"/>
                <w:szCs w:val="16"/>
                <w:lang w:val="en-US"/>
              </w:rPr>
              <w:t>The Secretary and the Commission may establish the modalities of the permits in the Regulation they issue for such purpose.</w:t>
            </w:r>
          </w:p>
        </w:tc>
      </w:tr>
      <w:tr w:rsidR="009849AC" w:rsidRPr="002C0F16" w14:paraId="0D41E676" w14:textId="4CFE8926" w:rsidTr="00F867DE">
        <w:tc>
          <w:tcPr>
            <w:tcW w:w="4711" w:type="dxa"/>
          </w:tcPr>
          <w:p w14:paraId="192A77C8"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sz w:val="16"/>
                <w:szCs w:val="16"/>
              </w:rPr>
              <w:t>Las personas Permisionarias de importación, exportación, Transporte, Almacenamiento, Compresión, Descompresión, Licuefacción, Regasificación, Comercialización, Distribución, Despacho para Autoconsumo y Expendio al Público, son responsables de conservar la calidad y, en su caso, realizar la medición del producto recibido y entregado objeto de su actividad, de conformidad con lo establecido en el presente reglamento y en la demás Normatividad aplicable.</w:t>
            </w:r>
          </w:p>
        </w:tc>
        <w:tc>
          <w:tcPr>
            <w:tcW w:w="4649" w:type="dxa"/>
          </w:tcPr>
          <w:p w14:paraId="5BE061CD" w14:textId="68C36A3C" w:rsidR="009849AC" w:rsidRPr="00837D4A" w:rsidRDefault="009849AC" w:rsidP="009849AC">
            <w:pPr>
              <w:pStyle w:val="Texto"/>
              <w:spacing w:after="88" w:line="217" w:lineRule="exact"/>
              <w:ind w:firstLine="0"/>
              <w:rPr>
                <w:rFonts w:ascii="Verdana" w:hAnsi="Verdana"/>
                <w:sz w:val="16"/>
                <w:szCs w:val="16"/>
                <w:lang w:val="en-US"/>
              </w:rPr>
            </w:pPr>
            <w:r w:rsidRPr="00837D4A">
              <w:rPr>
                <w:rFonts w:ascii="Verdana" w:hAnsi="Verdana"/>
                <w:sz w:val="16"/>
                <w:szCs w:val="16"/>
                <w:lang w:val="en-US"/>
              </w:rPr>
              <w:t>Permit holders of import, export, transportation, storage, compression, decompression, liquefaction, regasification, marketing, distribution, dispatch for self-consumption and sale to the public are responsible for maintaining the quality and, where appropriate, measuring the product received and delivered for their activity, in accordance with the provisions of this regulation and other applicable legislation.</w:t>
            </w:r>
          </w:p>
        </w:tc>
      </w:tr>
      <w:tr w:rsidR="009849AC" w:rsidRPr="002C0F16" w14:paraId="221B678E" w14:textId="4A14DDFF" w:rsidTr="00F867DE">
        <w:tc>
          <w:tcPr>
            <w:tcW w:w="4711" w:type="dxa"/>
          </w:tcPr>
          <w:p w14:paraId="3432F630"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sz w:val="16"/>
                <w:szCs w:val="16"/>
              </w:rPr>
              <w:t>Lo anterior, sin perjuicio de que las personas Permisionarias cuyos Sistemas se encuentren interconectados formalicen protocolos de medición conjunta para cumplir con las responsabilidades señaladas.</w:t>
            </w:r>
          </w:p>
        </w:tc>
        <w:tc>
          <w:tcPr>
            <w:tcW w:w="4649" w:type="dxa"/>
          </w:tcPr>
          <w:p w14:paraId="1D956864" w14:textId="6F74C8DC" w:rsidR="009849AC" w:rsidRPr="00837D4A" w:rsidRDefault="009849AC" w:rsidP="009849AC">
            <w:pPr>
              <w:pStyle w:val="Texto"/>
              <w:spacing w:after="88" w:line="217" w:lineRule="exact"/>
              <w:ind w:firstLine="0"/>
              <w:rPr>
                <w:rFonts w:ascii="Verdana" w:hAnsi="Verdana"/>
                <w:sz w:val="16"/>
                <w:szCs w:val="16"/>
                <w:lang w:val="en-US"/>
              </w:rPr>
            </w:pPr>
            <w:r w:rsidRPr="00837D4A">
              <w:rPr>
                <w:rFonts w:ascii="Verdana" w:hAnsi="Verdana"/>
                <w:sz w:val="16"/>
                <w:szCs w:val="16"/>
                <w:lang w:val="en-US"/>
              </w:rPr>
              <w:t>The foregoing is without prejudice to the fact that Permit Holders whose Systems are interconnected formalize joint measurement protocols to comply with the stated responsibilities.</w:t>
            </w:r>
          </w:p>
        </w:tc>
      </w:tr>
      <w:tr w:rsidR="009849AC" w:rsidRPr="002C0F16" w14:paraId="60B91D22" w14:textId="07D27543" w:rsidTr="00F867DE">
        <w:tc>
          <w:tcPr>
            <w:tcW w:w="4711" w:type="dxa"/>
          </w:tcPr>
          <w:p w14:paraId="10607D71"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sz w:val="16"/>
                <w:szCs w:val="16"/>
              </w:rPr>
              <w:t xml:space="preserve">La Secretaría y la Comisión, en el ámbito de sus atribuciones, deben determinar los Petrolíferos y </w:t>
            </w:r>
            <w:r w:rsidRPr="00837D4A">
              <w:rPr>
                <w:rFonts w:ascii="Verdana" w:hAnsi="Verdana"/>
                <w:sz w:val="16"/>
                <w:szCs w:val="16"/>
              </w:rPr>
              <w:lastRenderedPageBreak/>
              <w:t>Petroquímicos que deben estar sujetos a regulación mediante la Normatividad que para tal efecto emitan.</w:t>
            </w:r>
          </w:p>
        </w:tc>
        <w:tc>
          <w:tcPr>
            <w:tcW w:w="4649" w:type="dxa"/>
          </w:tcPr>
          <w:p w14:paraId="2FE92FE8" w14:textId="39A66698" w:rsidR="009849AC" w:rsidRPr="00837D4A" w:rsidRDefault="009849AC" w:rsidP="009849AC">
            <w:pPr>
              <w:pStyle w:val="Texto"/>
              <w:spacing w:after="88" w:line="217" w:lineRule="exact"/>
              <w:ind w:firstLine="0"/>
              <w:rPr>
                <w:rFonts w:ascii="Verdana" w:hAnsi="Verdana"/>
                <w:sz w:val="16"/>
                <w:szCs w:val="16"/>
                <w:lang w:val="en-US"/>
              </w:rPr>
            </w:pPr>
            <w:r w:rsidRPr="00837D4A">
              <w:rPr>
                <w:rFonts w:ascii="Verdana" w:hAnsi="Verdana"/>
                <w:sz w:val="16"/>
                <w:szCs w:val="16"/>
                <w:lang w:val="en-US"/>
              </w:rPr>
              <w:lastRenderedPageBreak/>
              <w:t xml:space="preserve">The Secretary and the Commission, within the scope of their powers, must determine the petroleum products </w:t>
            </w:r>
            <w:r w:rsidRPr="00837D4A">
              <w:rPr>
                <w:rFonts w:ascii="Verdana" w:hAnsi="Verdana"/>
                <w:sz w:val="16"/>
                <w:szCs w:val="16"/>
                <w:lang w:val="en-US"/>
              </w:rPr>
              <w:lastRenderedPageBreak/>
              <w:t>and petrochemicals that must be subject to regulation through the legislation they issue for this purpose.</w:t>
            </w:r>
          </w:p>
        </w:tc>
      </w:tr>
      <w:tr w:rsidR="009849AC" w:rsidRPr="002C0F16" w14:paraId="5BFD792D" w14:textId="1FDFA356" w:rsidTr="00F867DE">
        <w:tc>
          <w:tcPr>
            <w:tcW w:w="4711" w:type="dxa"/>
          </w:tcPr>
          <w:p w14:paraId="389F8D53"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sz w:val="16"/>
                <w:szCs w:val="16"/>
              </w:rPr>
              <w:lastRenderedPageBreak/>
              <w:t>En el caso del propano, cuando este sea utilizado como combustible, debe ser considerado como Gas Licuado de Petróleo para efectos regulatorios, ya que constituye un sustituto directo.</w:t>
            </w:r>
          </w:p>
        </w:tc>
        <w:tc>
          <w:tcPr>
            <w:tcW w:w="4649" w:type="dxa"/>
          </w:tcPr>
          <w:p w14:paraId="6189DBBA" w14:textId="3F9D40FE" w:rsidR="009849AC" w:rsidRPr="00837D4A" w:rsidRDefault="009849AC" w:rsidP="009849AC">
            <w:pPr>
              <w:pStyle w:val="Texto"/>
              <w:spacing w:after="88" w:line="217" w:lineRule="exact"/>
              <w:ind w:firstLine="0"/>
              <w:rPr>
                <w:rFonts w:ascii="Verdana" w:hAnsi="Verdana"/>
                <w:sz w:val="16"/>
                <w:szCs w:val="16"/>
                <w:lang w:val="en-US"/>
              </w:rPr>
            </w:pPr>
            <w:r w:rsidRPr="00837D4A">
              <w:rPr>
                <w:rFonts w:ascii="Verdana" w:hAnsi="Verdana"/>
                <w:sz w:val="16"/>
                <w:szCs w:val="16"/>
                <w:lang w:val="en-US"/>
              </w:rPr>
              <w:t>In the case of propane, when used as fuel, it must be considered Liquefied Petroleum Gas for regulatory purposes, since it constitutes a direct substitute.</w:t>
            </w:r>
          </w:p>
        </w:tc>
      </w:tr>
      <w:tr w:rsidR="009849AC" w:rsidRPr="002C0F16" w14:paraId="7D0FBCA0" w14:textId="00BF6556" w:rsidTr="00F867DE">
        <w:tc>
          <w:tcPr>
            <w:tcW w:w="4711" w:type="dxa"/>
          </w:tcPr>
          <w:p w14:paraId="261E8CE4" w14:textId="77777777" w:rsidR="009849AC" w:rsidRPr="00837D4A" w:rsidRDefault="009849AC" w:rsidP="009849AC">
            <w:pPr>
              <w:pStyle w:val="Texto"/>
              <w:spacing w:after="88" w:line="217" w:lineRule="exact"/>
              <w:ind w:firstLine="0"/>
              <w:rPr>
                <w:rFonts w:ascii="Verdana" w:hAnsi="Verdana"/>
                <w:sz w:val="16"/>
                <w:szCs w:val="16"/>
                <w:lang w:val="es"/>
              </w:rPr>
            </w:pPr>
            <w:r w:rsidRPr="00837D4A">
              <w:rPr>
                <w:rFonts w:ascii="Verdana" w:hAnsi="Verdana"/>
                <w:b/>
                <w:sz w:val="16"/>
                <w:szCs w:val="16"/>
              </w:rPr>
              <w:t>Artículo 96.</w:t>
            </w:r>
            <w:r w:rsidRPr="00837D4A">
              <w:rPr>
                <w:rFonts w:ascii="Verdana" w:hAnsi="Verdana"/>
                <w:sz w:val="16"/>
                <w:szCs w:val="16"/>
              </w:rPr>
              <w:t xml:space="preserve"> </w:t>
            </w:r>
            <w:r w:rsidRPr="00837D4A">
              <w:rPr>
                <w:rFonts w:ascii="Verdana" w:hAnsi="Verdana"/>
                <w:sz w:val="16"/>
                <w:szCs w:val="16"/>
                <w:lang w:val="es"/>
              </w:rPr>
              <w:t>Las solicitudes de permisos se deben presentar en los formatos autorizados para tal efecto y debe detallar para cada caso, en cumplimiento de los artículos 80, 81, 152 y 155 de la Ley, así como de la Normatividad aplicable, al menos la siguiente información, según corresponda:</w:t>
            </w:r>
          </w:p>
        </w:tc>
        <w:tc>
          <w:tcPr>
            <w:tcW w:w="4649" w:type="dxa"/>
          </w:tcPr>
          <w:p w14:paraId="499F43E5" w14:textId="4E5800BF"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Article 96.</w:t>
            </w:r>
            <w:r w:rsidRPr="00837D4A">
              <w:rPr>
                <w:rFonts w:ascii="Verdana" w:hAnsi="Verdana"/>
                <w:sz w:val="16"/>
                <w:szCs w:val="16"/>
                <w:lang w:val="en-US"/>
              </w:rPr>
              <w:t xml:space="preserve"> Permit applications must be submitted in the authorized formats and must detail for each case, in compliance with articles 80, 81, 152 and 155 of the Law, as well as the applicable legislation, at least the following information, as appropriate:</w:t>
            </w:r>
          </w:p>
        </w:tc>
      </w:tr>
      <w:tr w:rsidR="009849AC" w:rsidRPr="002C0F16" w14:paraId="04723CCE" w14:textId="7DFC961C" w:rsidTr="00F867DE">
        <w:tc>
          <w:tcPr>
            <w:tcW w:w="4711" w:type="dxa"/>
          </w:tcPr>
          <w:p w14:paraId="5FC42FFF" w14:textId="77777777" w:rsidR="009849AC" w:rsidRPr="00837D4A" w:rsidRDefault="009849AC" w:rsidP="009849AC">
            <w:pPr>
              <w:pStyle w:val="Texto"/>
              <w:spacing w:after="88" w:line="217" w:lineRule="exact"/>
              <w:ind w:firstLine="0"/>
              <w:rPr>
                <w:rFonts w:ascii="Verdana" w:hAnsi="Verdana"/>
                <w:b/>
                <w:sz w:val="16"/>
                <w:szCs w:val="16"/>
                <w:lang w:val="es"/>
              </w:rPr>
            </w:pPr>
            <w:r w:rsidRPr="00837D4A">
              <w:rPr>
                <w:rFonts w:ascii="Verdana" w:hAnsi="Verdana"/>
                <w:b/>
                <w:sz w:val="16"/>
                <w:szCs w:val="16"/>
                <w:lang w:val="es"/>
              </w:rPr>
              <w:t>I.</w:t>
            </w:r>
            <w:r w:rsidRPr="00837D4A">
              <w:rPr>
                <w:rFonts w:ascii="Verdana" w:hAnsi="Verdana"/>
                <w:b/>
                <w:sz w:val="16"/>
                <w:szCs w:val="16"/>
                <w:lang w:val="es"/>
              </w:rPr>
              <w:tab/>
            </w:r>
            <w:r w:rsidRPr="00837D4A">
              <w:rPr>
                <w:rFonts w:ascii="Verdana" w:hAnsi="Verdana"/>
                <w:sz w:val="16"/>
                <w:szCs w:val="16"/>
                <w:lang w:val="es"/>
              </w:rPr>
              <w:t>Formato debidamente requisitado con la siguiente información y manifestaciones:</w:t>
            </w:r>
          </w:p>
        </w:tc>
        <w:tc>
          <w:tcPr>
            <w:tcW w:w="4649" w:type="dxa"/>
          </w:tcPr>
          <w:p w14:paraId="5E17A762" w14:textId="570BE04F"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Duly completed form with the following information and statements:</w:t>
            </w:r>
          </w:p>
        </w:tc>
      </w:tr>
      <w:tr w:rsidR="009849AC" w:rsidRPr="002C0F16" w14:paraId="0AA148B6" w14:textId="4C7D3424" w:rsidTr="00F867DE">
        <w:tc>
          <w:tcPr>
            <w:tcW w:w="4711" w:type="dxa"/>
          </w:tcPr>
          <w:p w14:paraId="2D936548" w14:textId="77777777" w:rsidR="009849AC" w:rsidRPr="00837D4A" w:rsidRDefault="009849AC" w:rsidP="009849AC">
            <w:pPr>
              <w:pStyle w:val="Texto"/>
              <w:spacing w:after="88" w:line="217" w:lineRule="exact"/>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lang w:val="es"/>
              </w:rPr>
              <w:t>Nombre, denominación o razón social de la persona solicitante;</w:t>
            </w:r>
          </w:p>
        </w:tc>
        <w:tc>
          <w:tcPr>
            <w:tcW w:w="4649" w:type="dxa"/>
          </w:tcPr>
          <w:p w14:paraId="7A46253D" w14:textId="7DA91495"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Name, denomination or business name of the applicant;</w:t>
            </w:r>
          </w:p>
        </w:tc>
      </w:tr>
      <w:tr w:rsidR="009849AC" w:rsidRPr="002C0F16" w14:paraId="0A65B606" w14:textId="700F7F08" w:rsidTr="00F867DE">
        <w:tc>
          <w:tcPr>
            <w:tcW w:w="4711" w:type="dxa"/>
          </w:tcPr>
          <w:p w14:paraId="686F2184" w14:textId="77777777" w:rsidR="009849AC" w:rsidRPr="00837D4A" w:rsidRDefault="009849AC" w:rsidP="009849AC">
            <w:pPr>
              <w:pStyle w:val="Texto"/>
              <w:spacing w:after="88" w:line="217" w:lineRule="exact"/>
              <w:ind w:firstLine="0"/>
              <w:rPr>
                <w:rFonts w:ascii="Verdana" w:hAnsi="Verdana"/>
                <w:sz w:val="16"/>
                <w:szCs w:val="16"/>
              </w:rPr>
            </w:pPr>
            <w:r w:rsidRPr="00837D4A">
              <w:rPr>
                <w:rFonts w:ascii="Verdana" w:hAnsi="Verdana"/>
                <w:b/>
                <w:sz w:val="16"/>
                <w:szCs w:val="16"/>
                <w:lang w:val="es"/>
              </w:rPr>
              <w:t>b)</w:t>
            </w:r>
            <w:r w:rsidRPr="00837D4A">
              <w:rPr>
                <w:rFonts w:ascii="Verdana" w:hAnsi="Verdana"/>
                <w:b/>
                <w:sz w:val="16"/>
                <w:szCs w:val="16"/>
                <w:lang w:val="es"/>
              </w:rPr>
              <w:tab/>
            </w:r>
            <w:r w:rsidRPr="00837D4A">
              <w:rPr>
                <w:rFonts w:ascii="Verdana" w:hAnsi="Verdana"/>
                <w:sz w:val="16"/>
                <w:szCs w:val="16"/>
              </w:rPr>
              <w:t>Domicilio y dirección de correo electrónico para oír y recibir notificaciones;</w:t>
            </w:r>
          </w:p>
        </w:tc>
        <w:tc>
          <w:tcPr>
            <w:tcW w:w="4649" w:type="dxa"/>
          </w:tcPr>
          <w:p w14:paraId="1D894913" w14:textId="5A8788D2"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Address and email address to hear and receive notifications;</w:t>
            </w:r>
          </w:p>
        </w:tc>
      </w:tr>
      <w:tr w:rsidR="009849AC" w:rsidRPr="002C0F16" w14:paraId="7F93535D" w14:textId="36C5186C" w:rsidTr="00F867DE">
        <w:tc>
          <w:tcPr>
            <w:tcW w:w="4711" w:type="dxa"/>
          </w:tcPr>
          <w:p w14:paraId="7B04BB53" w14:textId="77777777" w:rsidR="009849AC" w:rsidRPr="00837D4A" w:rsidRDefault="009849AC" w:rsidP="009849AC">
            <w:pPr>
              <w:pStyle w:val="Texto"/>
              <w:spacing w:after="88" w:line="217" w:lineRule="exact"/>
              <w:ind w:firstLine="0"/>
              <w:rPr>
                <w:rFonts w:ascii="Verdana" w:hAnsi="Verdana"/>
                <w:sz w:val="16"/>
                <w:szCs w:val="16"/>
                <w:lang w:val="es"/>
              </w:rPr>
            </w:pPr>
            <w:r w:rsidRPr="00837D4A">
              <w:rPr>
                <w:rFonts w:ascii="Verdana" w:hAnsi="Verdana"/>
                <w:b/>
                <w:sz w:val="16"/>
                <w:szCs w:val="16"/>
                <w:lang w:val="es"/>
              </w:rPr>
              <w:t>c)</w:t>
            </w:r>
            <w:r w:rsidRPr="00837D4A">
              <w:rPr>
                <w:rFonts w:ascii="Verdana" w:hAnsi="Verdana"/>
                <w:b/>
                <w:sz w:val="16"/>
                <w:szCs w:val="16"/>
                <w:lang w:val="es"/>
              </w:rPr>
              <w:tab/>
            </w:r>
            <w:r w:rsidRPr="00837D4A">
              <w:rPr>
                <w:rFonts w:ascii="Verdana" w:hAnsi="Verdana"/>
                <w:sz w:val="16"/>
                <w:szCs w:val="16"/>
                <w:lang w:val="es"/>
              </w:rPr>
              <w:t>Nombre y dirección de correo electrónico de las personas autorizadas para recibir notificaciones;</w:t>
            </w:r>
          </w:p>
        </w:tc>
        <w:tc>
          <w:tcPr>
            <w:tcW w:w="4649" w:type="dxa"/>
          </w:tcPr>
          <w:p w14:paraId="4246BBC1" w14:textId="1C98C153"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Name and email address of the persons authorized to receive notifications;</w:t>
            </w:r>
          </w:p>
        </w:tc>
      </w:tr>
      <w:tr w:rsidR="009849AC" w:rsidRPr="002C0F16" w14:paraId="4DD64BC3" w14:textId="2E9DB0C2" w:rsidTr="00F867DE">
        <w:tc>
          <w:tcPr>
            <w:tcW w:w="4711" w:type="dxa"/>
          </w:tcPr>
          <w:p w14:paraId="51F20C7F" w14:textId="77777777" w:rsidR="009849AC" w:rsidRPr="00837D4A" w:rsidRDefault="009849AC" w:rsidP="009849AC">
            <w:pPr>
              <w:pStyle w:val="Texto"/>
              <w:spacing w:after="88" w:line="217" w:lineRule="exact"/>
              <w:ind w:firstLine="0"/>
              <w:rPr>
                <w:rFonts w:ascii="Verdana" w:hAnsi="Verdana"/>
                <w:sz w:val="16"/>
                <w:szCs w:val="16"/>
                <w:lang w:val="es"/>
              </w:rPr>
            </w:pPr>
            <w:r w:rsidRPr="00837D4A">
              <w:rPr>
                <w:rFonts w:ascii="Verdana" w:hAnsi="Verdana"/>
                <w:b/>
                <w:sz w:val="16"/>
                <w:szCs w:val="16"/>
                <w:lang w:val="es"/>
              </w:rPr>
              <w:t>d)</w:t>
            </w:r>
            <w:r w:rsidRPr="00837D4A">
              <w:rPr>
                <w:rFonts w:ascii="Verdana" w:hAnsi="Verdana"/>
                <w:b/>
                <w:sz w:val="16"/>
                <w:szCs w:val="16"/>
                <w:lang w:val="es"/>
              </w:rPr>
              <w:tab/>
            </w:r>
            <w:r w:rsidRPr="00837D4A">
              <w:rPr>
                <w:rFonts w:ascii="Verdana" w:hAnsi="Verdana"/>
                <w:sz w:val="16"/>
                <w:szCs w:val="16"/>
                <w:lang w:val="es"/>
              </w:rPr>
              <w:t>Indicar el grupo de interés económico al que pertenece la persona solicitante;</w:t>
            </w:r>
          </w:p>
        </w:tc>
        <w:tc>
          <w:tcPr>
            <w:tcW w:w="4649" w:type="dxa"/>
          </w:tcPr>
          <w:p w14:paraId="7292CD8D" w14:textId="2B3D493F"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Indicate the economic interest group to which the applicant belongs;</w:t>
            </w:r>
          </w:p>
        </w:tc>
      </w:tr>
      <w:tr w:rsidR="009849AC" w:rsidRPr="002C0F16" w14:paraId="00EEE40D" w14:textId="04E49A94" w:rsidTr="00F867DE">
        <w:tc>
          <w:tcPr>
            <w:tcW w:w="4711" w:type="dxa"/>
          </w:tcPr>
          <w:p w14:paraId="312559B3" w14:textId="77777777" w:rsidR="009849AC" w:rsidRPr="00837D4A" w:rsidRDefault="009849AC" w:rsidP="009849AC">
            <w:pPr>
              <w:pStyle w:val="Texto"/>
              <w:spacing w:after="88" w:line="217" w:lineRule="exact"/>
              <w:ind w:firstLine="0"/>
              <w:rPr>
                <w:rFonts w:ascii="Verdana" w:hAnsi="Verdana"/>
                <w:b/>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Manifestar, bajo protesta de decir verdad, que la persona solicitante:</w:t>
            </w:r>
          </w:p>
        </w:tc>
        <w:tc>
          <w:tcPr>
            <w:tcW w:w="4649" w:type="dxa"/>
          </w:tcPr>
          <w:p w14:paraId="510AD916" w14:textId="692FC349"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State, under penalty of perjury, that the applicant:</w:t>
            </w:r>
          </w:p>
        </w:tc>
      </w:tr>
      <w:tr w:rsidR="009849AC" w:rsidRPr="002C0F16" w14:paraId="4F0749B2" w14:textId="2836F91C" w:rsidTr="00F867DE">
        <w:tc>
          <w:tcPr>
            <w:tcW w:w="4711" w:type="dxa"/>
          </w:tcPr>
          <w:p w14:paraId="67AF66CA" w14:textId="77777777" w:rsidR="009849AC" w:rsidRPr="00837D4A" w:rsidRDefault="009849AC" w:rsidP="009849AC">
            <w:pPr>
              <w:pStyle w:val="Texto"/>
              <w:spacing w:after="88" w:line="217" w:lineRule="exact"/>
              <w:ind w:firstLine="0"/>
              <w:rPr>
                <w:rFonts w:ascii="Verdana" w:hAnsi="Verdana"/>
                <w:sz w:val="16"/>
                <w:szCs w:val="16"/>
                <w:lang w:val="es"/>
              </w:rPr>
            </w:pPr>
            <w:r w:rsidRPr="00837D4A">
              <w:rPr>
                <w:rFonts w:ascii="Verdana" w:hAnsi="Verdana"/>
                <w:b/>
                <w:sz w:val="16"/>
                <w:szCs w:val="16"/>
                <w:lang w:val="es"/>
              </w:rPr>
              <w:t>1.</w:t>
            </w:r>
            <w:r w:rsidRPr="00837D4A">
              <w:rPr>
                <w:rFonts w:ascii="Verdana" w:hAnsi="Verdana"/>
                <w:b/>
                <w:sz w:val="16"/>
                <w:szCs w:val="16"/>
                <w:lang w:val="es"/>
              </w:rPr>
              <w:tab/>
            </w:r>
            <w:r w:rsidRPr="00837D4A">
              <w:rPr>
                <w:rFonts w:ascii="Verdana" w:hAnsi="Verdana"/>
                <w:sz w:val="16"/>
                <w:szCs w:val="16"/>
                <w:lang w:val="es"/>
              </w:rPr>
              <w:t>No se encuentra en el directorio de licitantes, proveedores o contratistas sancionados por autoridad competente;</w:t>
            </w:r>
          </w:p>
        </w:tc>
        <w:tc>
          <w:tcPr>
            <w:tcW w:w="4649" w:type="dxa"/>
          </w:tcPr>
          <w:p w14:paraId="5FFF7206" w14:textId="2CAA05DD" w:rsidR="009849AC" w:rsidRPr="00837D4A" w:rsidRDefault="009849AC" w:rsidP="009849AC">
            <w:pPr>
              <w:pStyle w:val="Texto"/>
              <w:spacing w:after="88" w:line="217" w:lineRule="exact"/>
              <w:ind w:firstLine="0"/>
              <w:rPr>
                <w:rFonts w:ascii="Verdana" w:hAnsi="Verdana"/>
                <w:b/>
                <w:sz w:val="16"/>
                <w:szCs w:val="16"/>
                <w:lang w:val="en-US"/>
              </w:rPr>
            </w:pPr>
            <w:r w:rsidRPr="00837D4A">
              <w:rPr>
                <w:rFonts w:ascii="Verdana" w:hAnsi="Verdana"/>
                <w:b/>
                <w:sz w:val="16"/>
                <w:szCs w:val="16"/>
                <w:lang w:val="en-US"/>
              </w:rPr>
              <w:t xml:space="preserve">1. </w:t>
            </w:r>
            <w:r w:rsidRPr="00837D4A">
              <w:rPr>
                <w:rFonts w:ascii="Verdana" w:hAnsi="Verdana"/>
                <w:b/>
                <w:sz w:val="16"/>
                <w:szCs w:val="16"/>
                <w:lang w:val="en-US"/>
              </w:rPr>
              <w:tab/>
            </w:r>
            <w:r w:rsidRPr="00837D4A">
              <w:rPr>
                <w:rFonts w:ascii="Verdana" w:hAnsi="Verdana"/>
                <w:sz w:val="16"/>
                <w:szCs w:val="16"/>
                <w:lang w:val="en-US"/>
              </w:rPr>
              <w:t>Is not listed in the directory of bidders, suppliers or contractors sanctioned by the appropriate authority;</w:t>
            </w:r>
          </w:p>
        </w:tc>
      </w:tr>
      <w:tr w:rsidR="009849AC" w:rsidRPr="002C0F16" w14:paraId="3B9E1E4B" w14:textId="65C63BA0" w:rsidTr="00F867DE">
        <w:tc>
          <w:tcPr>
            <w:tcW w:w="4711" w:type="dxa"/>
          </w:tcPr>
          <w:p w14:paraId="65A30FB2"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2.</w:t>
            </w:r>
            <w:r w:rsidRPr="00837D4A">
              <w:rPr>
                <w:rFonts w:ascii="Verdana" w:hAnsi="Verdana"/>
                <w:b/>
                <w:sz w:val="16"/>
                <w:szCs w:val="16"/>
              </w:rPr>
              <w:tab/>
            </w:r>
            <w:r w:rsidRPr="00837D4A">
              <w:rPr>
                <w:rFonts w:ascii="Verdana" w:hAnsi="Verdana"/>
                <w:sz w:val="16"/>
                <w:szCs w:val="16"/>
              </w:rPr>
              <w:t>No se encuentra incluido en la relación de contribuyentes con operaciones presuntamente inexistentes al que se refiere el artículo 69-B del Código Fiscal de la Federación;</w:t>
            </w:r>
          </w:p>
        </w:tc>
        <w:tc>
          <w:tcPr>
            <w:tcW w:w="4649" w:type="dxa"/>
          </w:tcPr>
          <w:p w14:paraId="00EA551A" w14:textId="54D84E10"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2. </w:t>
            </w:r>
            <w:r w:rsidRPr="00837D4A">
              <w:rPr>
                <w:rFonts w:ascii="Verdana" w:hAnsi="Verdana"/>
                <w:b/>
                <w:sz w:val="16"/>
                <w:szCs w:val="16"/>
                <w:lang w:val="en-US"/>
              </w:rPr>
              <w:tab/>
            </w:r>
            <w:r w:rsidRPr="00837D4A">
              <w:rPr>
                <w:rFonts w:ascii="Verdana" w:hAnsi="Verdana"/>
                <w:sz w:val="16"/>
                <w:szCs w:val="16"/>
                <w:lang w:val="en-US"/>
              </w:rPr>
              <w:t>It is not included in the list of taxpayers with presumably non-existent operations referred to in Article 69-B of the Federal Tax Code;</w:t>
            </w:r>
          </w:p>
        </w:tc>
      </w:tr>
      <w:tr w:rsidR="009849AC" w:rsidRPr="002C0F16" w14:paraId="735DC879" w14:textId="38CF701B" w:rsidTr="00F867DE">
        <w:tc>
          <w:tcPr>
            <w:tcW w:w="4711" w:type="dxa"/>
          </w:tcPr>
          <w:p w14:paraId="3BFCFC09"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3.</w:t>
            </w:r>
            <w:r w:rsidRPr="00837D4A">
              <w:rPr>
                <w:rFonts w:ascii="Verdana" w:hAnsi="Verdana"/>
                <w:b/>
                <w:sz w:val="16"/>
                <w:szCs w:val="16"/>
              </w:rPr>
              <w:tab/>
            </w:r>
            <w:r w:rsidRPr="00837D4A">
              <w:rPr>
                <w:rFonts w:ascii="Verdana" w:hAnsi="Verdana"/>
                <w:sz w:val="16"/>
                <w:szCs w:val="16"/>
              </w:rPr>
              <w:t>No participa ni ejerce actividades ilícitas, y que no realiza ni ha sido sancionada por actos de corrupción;</w:t>
            </w:r>
          </w:p>
        </w:tc>
        <w:tc>
          <w:tcPr>
            <w:tcW w:w="4649" w:type="dxa"/>
          </w:tcPr>
          <w:p w14:paraId="090C955A" w14:textId="09379894"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3. </w:t>
            </w:r>
            <w:r w:rsidRPr="00837D4A">
              <w:rPr>
                <w:rFonts w:ascii="Verdana" w:hAnsi="Verdana"/>
                <w:b/>
                <w:sz w:val="16"/>
                <w:szCs w:val="16"/>
                <w:lang w:val="en-US"/>
              </w:rPr>
              <w:tab/>
            </w:r>
            <w:r w:rsidRPr="00837D4A">
              <w:rPr>
                <w:rFonts w:ascii="Verdana" w:hAnsi="Verdana"/>
                <w:sz w:val="16"/>
                <w:szCs w:val="16"/>
                <w:lang w:val="en-US"/>
              </w:rPr>
              <w:t>Does not participate in or carry out illegal activities, and does not carry out or have been sanctioned for acts of corruption;</w:t>
            </w:r>
          </w:p>
        </w:tc>
      </w:tr>
      <w:tr w:rsidR="009849AC" w:rsidRPr="002C0F16" w14:paraId="1ACCFA45" w14:textId="42CA5EF5" w:rsidTr="00F867DE">
        <w:tc>
          <w:tcPr>
            <w:tcW w:w="4711" w:type="dxa"/>
          </w:tcPr>
          <w:p w14:paraId="6FE0B6AD"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4.</w:t>
            </w:r>
            <w:r w:rsidRPr="00837D4A">
              <w:rPr>
                <w:rFonts w:ascii="Verdana" w:hAnsi="Verdana"/>
                <w:b/>
                <w:sz w:val="16"/>
                <w:szCs w:val="16"/>
              </w:rPr>
              <w:tab/>
            </w:r>
            <w:r w:rsidRPr="00837D4A">
              <w:rPr>
                <w:rFonts w:ascii="Verdana" w:hAnsi="Verdana"/>
                <w:sz w:val="16"/>
                <w:szCs w:val="16"/>
              </w:rPr>
              <w:t>Tiene conocimiento del marco regulatorio aplicable a la actividad a desarrollar, y se compromete a cumplirlo, y</w:t>
            </w:r>
          </w:p>
        </w:tc>
        <w:tc>
          <w:tcPr>
            <w:tcW w:w="4649" w:type="dxa"/>
          </w:tcPr>
          <w:p w14:paraId="68A9BEDC" w14:textId="34E5144C"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4. </w:t>
            </w:r>
            <w:r w:rsidRPr="00837D4A">
              <w:rPr>
                <w:rFonts w:ascii="Verdana" w:hAnsi="Verdana"/>
                <w:b/>
                <w:sz w:val="16"/>
                <w:szCs w:val="16"/>
                <w:lang w:val="en-US"/>
              </w:rPr>
              <w:tab/>
            </w:r>
            <w:r w:rsidRPr="00837D4A">
              <w:rPr>
                <w:rFonts w:ascii="Verdana" w:hAnsi="Verdana"/>
                <w:sz w:val="16"/>
                <w:szCs w:val="16"/>
                <w:lang w:val="en-US"/>
              </w:rPr>
              <w:t>Has knowledge of the regulatory framework applicable to the activity to be developed, and undertakes to comply with it, and</w:t>
            </w:r>
          </w:p>
        </w:tc>
      </w:tr>
      <w:tr w:rsidR="009849AC" w:rsidRPr="002C0F16" w14:paraId="44140B71" w14:textId="530BE04D" w:rsidTr="00F867DE">
        <w:tc>
          <w:tcPr>
            <w:tcW w:w="4711" w:type="dxa"/>
          </w:tcPr>
          <w:p w14:paraId="44A9E070"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5.</w:t>
            </w:r>
            <w:r w:rsidRPr="00837D4A">
              <w:rPr>
                <w:rFonts w:ascii="Verdana" w:hAnsi="Verdana"/>
                <w:b/>
                <w:sz w:val="16"/>
                <w:szCs w:val="16"/>
              </w:rPr>
              <w:tab/>
            </w:r>
            <w:r w:rsidRPr="00837D4A">
              <w:rPr>
                <w:rFonts w:ascii="Verdana" w:hAnsi="Verdana"/>
                <w:sz w:val="16"/>
                <w:szCs w:val="16"/>
              </w:rPr>
              <w:t>El consentimiento para recibir notificaciones, requerimientos, y las comunicaciones derivadas del trámite por medios electrónicos;</w:t>
            </w:r>
          </w:p>
        </w:tc>
        <w:tc>
          <w:tcPr>
            <w:tcW w:w="4649" w:type="dxa"/>
          </w:tcPr>
          <w:p w14:paraId="09A8D6C6" w14:textId="534879BB"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5. </w:t>
            </w:r>
            <w:r w:rsidRPr="00837D4A">
              <w:rPr>
                <w:rFonts w:ascii="Verdana" w:hAnsi="Verdana"/>
                <w:b/>
                <w:sz w:val="16"/>
                <w:szCs w:val="16"/>
                <w:lang w:val="en-US"/>
              </w:rPr>
              <w:tab/>
            </w:r>
            <w:r w:rsidRPr="00837D4A">
              <w:rPr>
                <w:rFonts w:ascii="Verdana" w:hAnsi="Verdana"/>
                <w:sz w:val="16"/>
                <w:szCs w:val="16"/>
                <w:lang w:val="en-US"/>
              </w:rPr>
              <w:t>Consent to receive notifications, requests, and communications arising from the procedure by electronic means;</w:t>
            </w:r>
          </w:p>
        </w:tc>
      </w:tr>
      <w:tr w:rsidR="009849AC" w:rsidRPr="002C0F16" w14:paraId="57DC6CDC" w14:textId="2D441384" w:rsidTr="00F867DE">
        <w:tc>
          <w:tcPr>
            <w:tcW w:w="4711" w:type="dxa"/>
          </w:tcPr>
          <w:p w14:paraId="5007D753"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La información técnica y operativa del proyecto:</w:t>
            </w:r>
          </w:p>
        </w:tc>
        <w:tc>
          <w:tcPr>
            <w:tcW w:w="4649" w:type="dxa"/>
          </w:tcPr>
          <w:p w14:paraId="27AD8187" w14:textId="1E72D7C6"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The technical and operational information of the project:</w:t>
            </w:r>
          </w:p>
        </w:tc>
      </w:tr>
      <w:tr w:rsidR="009849AC" w:rsidRPr="002C0F16" w14:paraId="12D2CCD4" w14:textId="464ED1F6" w:rsidTr="00F867DE">
        <w:tc>
          <w:tcPr>
            <w:tcW w:w="4711" w:type="dxa"/>
          </w:tcPr>
          <w:p w14:paraId="3E49085E"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1.</w:t>
            </w:r>
            <w:r w:rsidRPr="00837D4A">
              <w:rPr>
                <w:rFonts w:ascii="Verdana" w:hAnsi="Verdana"/>
                <w:b/>
                <w:sz w:val="16"/>
                <w:szCs w:val="16"/>
              </w:rPr>
              <w:tab/>
            </w:r>
            <w:r w:rsidRPr="00837D4A">
              <w:rPr>
                <w:rFonts w:ascii="Verdana" w:hAnsi="Verdana"/>
                <w:sz w:val="16"/>
                <w:szCs w:val="16"/>
              </w:rPr>
              <w:t>Domicilio del proyecto, instalación o infraestructura, así como las coordenadas geodésicas en un plano georreferenciado;</w:t>
            </w:r>
          </w:p>
        </w:tc>
        <w:tc>
          <w:tcPr>
            <w:tcW w:w="4649" w:type="dxa"/>
          </w:tcPr>
          <w:p w14:paraId="58D9B3DD" w14:textId="36CC7C6E"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1. </w:t>
            </w:r>
            <w:r w:rsidRPr="00837D4A">
              <w:rPr>
                <w:rFonts w:ascii="Verdana" w:hAnsi="Verdana"/>
                <w:b/>
                <w:sz w:val="16"/>
                <w:szCs w:val="16"/>
                <w:lang w:val="en-US"/>
              </w:rPr>
              <w:tab/>
            </w:r>
            <w:r w:rsidRPr="00837D4A">
              <w:rPr>
                <w:rFonts w:ascii="Verdana" w:hAnsi="Verdana"/>
                <w:sz w:val="16"/>
                <w:szCs w:val="16"/>
                <w:lang w:val="en-US"/>
              </w:rPr>
              <w:t>Address of the project, facility or infrastructure, as well as the geodetic coordinates on a georeferenced plane;</w:t>
            </w:r>
          </w:p>
        </w:tc>
      </w:tr>
      <w:tr w:rsidR="009849AC" w:rsidRPr="00D0180E" w14:paraId="2E9D49D0" w14:textId="32D61BE6" w:rsidTr="00F867DE">
        <w:tc>
          <w:tcPr>
            <w:tcW w:w="4711" w:type="dxa"/>
          </w:tcPr>
          <w:p w14:paraId="3C0889DA"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2.</w:t>
            </w:r>
            <w:r w:rsidRPr="00837D4A">
              <w:rPr>
                <w:rFonts w:ascii="Verdana" w:hAnsi="Verdana"/>
                <w:b/>
                <w:sz w:val="16"/>
                <w:szCs w:val="16"/>
              </w:rPr>
              <w:tab/>
            </w:r>
            <w:r w:rsidRPr="00837D4A">
              <w:rPr>
                <w:rFonts w:ascii="Verdana" w:hAnsi="Verdana"/>
                <w:sz w:val="16"/>
                <w:szCs w:val="16"/>
              </w:rPr>
              <w:t>Monto estimado de inversión;</w:t>
            </w:r>
          </w:p>
        </w:tc>
        <w:tc>
          <w:tcPr>
            <w:tcW w:w="4649" w:type="dxa"/>
          </w:tcPr>
          <w:p w14:paraId="5AF90EA2" w14:textId="5DCE55F6"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rPr>
              <w:t xml:space="preserve">2. </w:t>
            </w:r>
            <w:r w:rsidRPr="00837D4A">
              <w:rPr>
                <w:rFonts w:ascii="Verdana" w:hAnsi="Verdana"/>
                <w:b/>
                <w:sz w:val="16"/>
                <w:szCs w:val="16"/>
              </w:rPr>
              <w:tab/>
            </w:r>
            <w:proofErr w:type="spellStart"/>
            <w:r w:rsidRPr="00837D4A">
              <w:rPr>
                <w:rFonts w:ascii="Verdana" w:hAnsi="Verdana"/>
                <w:sz w:val="16"/>
                <w:szCs w:val="16"/>
              </w:rPr>
              <w:t>Estimated</w:t>
            </w:r>
            <w:proofErr w:type="spellEnd"/>
            <w:r w:rsidRPr="00837D4A">
              <w:rPr>
                <w:rFonts w:ascii="Verdana" w:hAnsi="Verdana"/>
                <w:sz w:val="16"/>
                <w:szCs w:val="16"/>
              </w:rPr>
              <w:t xml:space="preserve"> </w:t>
            </w:r>
            <w:proofErr w:type="spellStart"/>
            <w:r w:rsidRPr="00837D4A">
              <w:rPr>
                <w:rFonts w:ascii="Verdana" w:hAnsi="Verdana"/>
                <w:sz w:val="16"/>
                <w:szCs w:val="16"/>
              </w:rPr>
              <w:t>investment</w:t>
            </w:r>
            <w:proofErr w:type="spellEnd"/>
            <w:r w:rsidRPr="00837D4A">
              <w:rPr>
                <w:rFonts w:ascii="Verdana" w:hAnsi="Verdana"/>
                <w:sz w:val="16"/>
                <w:szCs w:val="16"/>
              </w:rPr>
              <w:t xml:space="preserve"> </w:t>
            </w:r>
            <w:proofErr w:type="spellStart"/>
            <w:r w:rsidRPr="00837D4A">
              <w:rPr>
                <w:rFonts w:ascii="Verdana" w:hAnsi="Verdana"/>
                <w:sz w:val="16"/>
                <w:szCs w:val="16"/>
              </w:rPr>
              <w:t>amount</w:t>
            </w:r>
            <w:proofErr w:type="spellEnd"/>
            <w:r w:rsidRPr="00837D4A">
              <w:rPr>
                <w:rFonts w:ascii="Verdana" w:hAnsi="Verdana"/>
                <w:sz w:val="16"/>
                <w:szCs w:val="16"/>
              </w:rPr>
              <w:t>;</w:t>
            </w:r>
          </w:p>
        </w:tc>
      </w:tr>
      <w:tr w:rsidR="009849AC" w:rsidRPr="002C0F16" w14:paraId="2DE01545" w14:textId="1FB35304" w:rsidTr="00F867DE">
        <w:tc>
          <w:tcPr>
            <w:tcW w:w="4711" w:type="dxa"/>
          </w:tcPr>
          <w:p w14:paraId="63256D54"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3.</w:t>
            </w:r>
            <w:r w:rsidRPr="00837D4A">
              <w:rPr>
                <w:rFonts w:ascii="Verdana" w:hAnsi="Verdana"/>
                <w:b/>
                <w:sz w:val="16"/>
                <w:szCs w:val="16"/>
              </w:rPr>
              <w:tab/>
            </w:r>
            <w:r w:rsidRPr="00837D4A">
              <w:rPr>
                <w:rFonts w:ascii="Verdana" w:hAnsi="Verdana"/>
                <w:sz w:val="16"/>
                <w:szCs w:val="16"/>
              </w:rPr>
              <w:t>La marca comercial de los productos, utilizada para su identificación;</w:t>
            </w:r>
          </w:p>
        </w:tc>
        <w:tc>
          <w:tcPr>
            <w:tcW w:w="4649" w:type="dxa"/>
          </w:tcPr>
          <w:p w14:paraId="3D848517" w14:textId="4FC49B94"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3. </w:t>
            </w:r>
            <w:r w:rsidRPr="00837D4A">
              <w:rPr>
                <w:rFonts w:ascii="Verdana" w:hAnsi="Verdana"/>
                <w:b/>
                <w:sz w:val="16"/>
                <w:szCs w:val="16"/>
                <w:lang w:val="en-US"/>
              </w:rPr>
              <w:tab/>
            </w:r>
            <w:r w:rsidRPr="00837D4A">
              <w:rPr>
                <w:rFonts w:ascii="Verdana" w:hAnsi="Verdana"/>
                <w:sz w:val="16"/>
                <w:szCs w:val="16"/>
                <w:lang w:val="en-US"/>
              </w:rPr>
              <w:t>The trademark of the products, used for their identification;</w:t>
            </w:r>
          </w:p>
        </w:tc>
      </w:tr>
      <w:tr w:rsidR="009849AC" w:rsidRPr="002C0F16" w14:paraId="0144D8F1" w14:textId="1FF28585" w:rsidTr="00F867DE">
        <w:tc>
          <w:tcPr>
            <w:tcW w:w="4711" w:type="dxa"/>
          </w:tcPr>
          <w:p w14:paraId="089CC52C"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4.</w:t>
            </w:r>
            <w:r w:rsidRPr="00837D4A">
              <w:rPr>
                <w:rFonts w:ascii="Verdana" w:hAnsi="Verdana"/>
                <w:b/>
                <w:sz w:val="16"/>
                <w:szCs w:val="16"/>
              </w:rPr>
              <w:tab/>
            </w:r>
            <w:r w:rsidRPr="00837D4A">
              <w:rPr>
                <w:rFonts w:ascii="Verdana" w:hAnsi="Verdana"/>
                <w:sz w:val="16"/>
                <w:szCs w:val="16"/>
              </w:rPr>
              <w:t>Uso, aplicaciones y destino que se le debe dar al producto o servicio;</w:t>
            </w:r>
          </w:p>
        </w:tc>
        <w:tc>
          <w:tcPr>
            <w:tcW w:w="4649" w:type="dxa"/>
          </w:tcPr>
          <w:p w14:paraId="35F901B4" w14:textId="4491551B"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4. </w:t>
            </w:r>
            <w:r w:rsidRPr="00837D4A">
              <w:rPr>
                <w:rFonts w:ascii="Verdana" w:hAnsi="Verdana"/>
                <w:b/>
                <w:sz w:val="16"/>
                <w:szCs w:val="16"/>
                <w:lang w:val="en-US"/>
              </w:rPr>
              <w:tab/>
            </w:r>
            <w:r w:rsidRPr="00837D4A">
              <w:rPr>
                <w:rFonts w:ascii="Verdana" w:hAnsi="Verdana"/>
                <w:sz w:val="16"/>
                <w:szCs w:val="16"/>
                <w:lang w:val="en-US"/>
              </w:rPr>
              <w:t>Use, applications and purpose that should be given to the product or service;</w:t>
            </w:r>
          </w:p>
        </w:tc>
      </w:tr>
      <w:tr w:rsidR="009849AC" w:rsidRPr="002C0F16" w14:paraId="36C552AA" w14:textId="2CC32DAF" w:rsidTr="00F867DE">
        <w:tc>
          <w:tcPr>
            <w:tcW w:w="4711" w:type="dxa"/>
          </w:tcPr>
          <w:p w14:paraId="4943529E"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lastRenderedPageBreak/>
              <w:t>5.</w:t>
            </w:r>
            <w:r w:rsidRPr="00837D4A">
              <w:rPr>
                <w:rFonts w:ascii="Verdana" w:hAnsi="Verdana"/>
                <w:b/>
                <w:sz w:val="16"/>
                <w:szCs w:val="16"/>
              </w:rPr>
              <w:tab/>
            </w:r>
            <w:r w:rsidRPr="00837D4A">
              <w:rPr>
                <w:rFonts w:ascii="Verdana" w:hAnsi="Verdana"/>
                <w:sz w:val="16"/>
                <w:szCs w:val="16"/>
              </w:rPr>
              <w:t>Procesos y fases operativas que se llevan a cabo para el desarrollo de la actividad regulada, según corresponda;</w:t>
            </w:r>
          </w:p>
        </w:tc>
        <w:tc>
          <w:tcPr>
            <w:tcW w:w="4649" w:type="dxa"/>
          </w:tcPr>
          <w:p w14:paraId="56BC5D80" w14:textId="167ACC92"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5. </w:t>
            </w:r>
            <w:r w:rsidRPr="00837D4A">
              <w:rPr>
                <w:rFonts w:ascii="Verdana" w:hAnsi="Verdana"/>
                <w:b/>
                <w:sz w:val="16"/>
                <w:szCs w:val="16"/>
                <w:lang w:val="en-US"/>
              </w:rPr>
              <w:tab/>
            </w:r>
            <w:r w:rsidRPr="00837D4A">
              <w:rPr>
                <w:rFonts w:ascii="Verdana" w:hAnsi="Verdana"/>
                <w:sz w:val="16"/>
                <w:szCs w:val="16"/>
                <w:lang w:val="en-US"/>
              </w:rPr>
              <w:t>Processes and operational phases carried out for the development of the regulated activity, as appropriate;</w:t>
            </w:r>
          </w:p>
        </w:tc>
      </w:tr>
      <w:tr w:rsidR="009849AC" w:rsidRPr="002C0F16" w14:paraId="023006E8" w14:textId="135BE9EB" w:rsidTr="00F867DE">
        <w:tc>
          <w:tcPr>
            <w:tcW w:w="4711" w:type="dxa"/>
          </w:tcPr>
          <w:p w14:paraId="4B010BD7"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6.</w:t>
            </w:r>
            <w:r w:rsidRPr="00837D4A">
              <w:rPr>
                <w:rFonts w:ascii="Verdana" w:hAnsi="Verdana"/>
                <w:b/>
                <w:sz w:val="16"/>
                <w:szCs w:val="16"/>
              </w:rPr>
              <w:tab/>
            </w:r>
            <w:r w:rsidRPr="00837D4A">
              <w:rPr>
                <w:rFonts w:ascii="Verdana" w:hAnsi="Verdana"/>
                <w:sz w:val="16"/>
                <w:szCs w:val="16"/>
              </w:rPr>
              <w:t>Tipo de tecnología que se debe utilizar;</w:t>
            </w:r>
          </w:p>
        </w:tc>
        <w:tc>
          <w:tcPr>
            <w:tcW w:w="4649" w:type="dxa"/>
          </w:tcPr>
          <w:p w14:paraId="48299DDC" w14:textId="0006B5C4"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6. </w:t>
            </w:r>
            <w:r w:rsidRPr="00837D4A">
              <w:rPr>
                <w:rFonts w:ascii="Verdana" w:hAnsi="Verdana"/>
                <w:b/>
                <w:sz w:val="16"/>
                <w:szCs w:val="16"/>
                <w:lang w:val="en-US"/>
              </w:rPr>
              <w:tab/>
            </w:r>
            <w:r w:rsidRPr="00837D4A">
              <w:rPr>
                <w:rFonts w:ascii="Verdana" w:hAnsi="Verdana"/>
                <w:sz w:val="16"/>
                <w:szCs w:val="16"/>
                <w:lang w:val="en-US"/>
              </w:rPr>
              <w:t>Type of technology to be used;</w:t>
            </w:r>
          </w:p>
        </w:tc>
      </w:tr>
      <w:tr w:rsidR="009849AC" w:rsidRPr="002C0F16" w14:paraId="2FC71789" w14:textId="7F99D151" w:rsidTr="00F867DE">
        <w:tc>
          <w:tcPr>
            <w:tcW w:w="4711" w:type="dxa"/>
          </w:tcPr>
          <w:p w14:paraId="0785B6EB"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7.</w:t>
            </w:r>
            <w:r w:rsidRPr="00837D4A">
              <w:rPr>
                <w:rFonts w:ascii="Verdana" w:hAnsi="Verdana"/>
                <w:b/>
                <w:sz w:val="16"/>
                <w:szCs w:val="16"/>
              </w:rPr>
              <w:tab/>
            </w:r>
            <w:r w:rsidRPr="00837D4A">
              <w:rPr>
                <w:rFonts w:ascii="Verdana" w:hAnsi="Verdana"/>
                <w:sz w:val="16"/>
                <w:szCs w:val="16"/>
              </w:rPr>
              <w:t>Recursos energéticos empleados e incluir combustibles, flujos térmicos u otros;</w:t>
            </w:r>
          </w:p>
        </w:tc>
        <w:tc>
          <w:tcPr>
            <w:tcW w:w="4649" w:type="dxa"/>
          </w:tcPr>
          <w:p w14:paraId="4B000CCE" w14:textId="1C77C093"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7. </w:t>
            </w:r>
            <w:r w:rsidRPr="00837D4A">
              <w:rPr>
                <w:rFonts w:ascii="Verdana" w:hAnsi="Verdana"/>
                <w:b/>
                <w:sz w:val="16"/>
                <w:szCs w:val="16"/>
                <w:lang w:val="en-US"/>
              </w:rPr>
              <w:tab/>
            </w:r>
            <w:r w:rsidRPr="00837D4A">
              <w:rPr>
                <w:rFonts w:ascii="Verdana" w:hAnsi="Verdana"/>
                <w:sz w:val="16"/>
                <w:szCs w:val="16"/>
                <w:lang w:val="en-US"/>
              </w:rPr>
              <w:t>Energy resources used and include fuels, thermal flows or others;</w:t>
            </w:r>
          </w:p>
        </w:tc>
      </w:tr>
      <w:tr w:rsidR="009849AC" w:rsidRPr="002C0F16" w14:paraId="12E4E326" w14:textId="5BF828C1" w:rsidTr="00F867DE">
        <w:tc>
          <w:tcPr>
            <w:tcW w:w="4711" w:type="dxa"/>
          </w:tcPr>
          <w:p w14:paraId="03DEBC27"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8.</w:t>
            </w:r>
            <w:r w:rsidRPr="00837D4A">
              <w:rPr>
                <w:rFonts w:ascii="Verdana" w:hAnsi="Verdana"/>
                <w:b/>
                <w:sz w:val="16"/>
                <w:szCs w:val="16"/>
              </w:rPr>
              <w:tab/>
            </w:r>
            <w:r w:rsidRPr="00837D4A">
              <w:rPr>
                <w:rFonts w:ascii="Verdana" w:hAnsi="Verdana"/>
                <w:sz w:val="16"/>
                <w:szCs w:val="16"/>
              </w:rPr>
              <w:t>Detalle del Sistema asociado;</w:t>
            </w:r>
          </w:p>
        </w:tc>
        <w:tc>
          <w:tcPr>
            <w:tcW w:w="4649" w:type="dxa"/>
          </w:tcPr>
          <w:p w14:paraId="5A405FDC" w14:textId="39238CDD"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8. </w:t>
            </w:r>
            <w:r w:rsidRPr="00837D4A">
              <w:rPr>
                <w:rFonts w:ascii="Verdana" w:hAnsi="Verdana"/>
                <w:b/>
                <w:sz w:val="16"/>
                <w:szCs w:val="16"/>
                <w:lang w:val="en-US"/>
              </w:rPr>
              <w:tab/>
            </w:r>
            <w:r w:rsidRPr="00837D4A">
              <w:rPr>
                <w:rFonts w:ascii="Verdana" w:hAnsi="Verdana"/>
                <w:sz w:val="16"/>
                <w:szCs w:val="16"/>
                <w:lang w:val="en-US"/>
              </w:rPr>
              <w:t>Detail of the associated System;</w:t>
            </w:r>
          </w:p>
        </w:tc>
      </w:tr>
      <w:tr w:rsidR="009849AC" w:rsidRPr="002C0F16" w14:paraId="5B0A2CA4" w14:textId="72AA5C67" w:rsidTr="00F867DE">
        <w:tc>
          <w:tcPr>
            <w:tcW w:w="4711" w:type="dxa"/>
          </w:tcPr>
          <w:p w14:paraId="71EAE2C2"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9.</w:t>
            </w:r>
            <w:r w:rsidRPr="00837D4A">
              <w:rPr>
                <w:rFonts w:ascii="Verdana" w:hAnsi="Verdana"/>
                <w:b/>
                <w:sz w:val="16"/>
                <w:szCs w:val="16"/>
              </w:rPr>
              <w:tab/>
            </w:r>
            <w:r w:rsidRPr="00837D4A">
              <w:rPr>
                <w:rFonts w:ascii="Verdana" w:hAnsi="Verdana"/>
                <w:sz w:val="16"/>
                <w:szCs w:val="16"/>
              </w:rPr>
              <w:t>Proyección de volumen, capacidad y costos estimados en la operación, expresada en las unidades técnicas aplicables;</w:t>
            </w:r>
          </w:p>
        </w:tc>
        <w:tc>
          <w:tcPr>
            <w:tcW w:w="4649" w:type="dxa"/>
          </w:tcPr>
          <w:p w14:paraId="0CA7C153" w14:textId="23DFCA03"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9. </w:t>
            </w:r>
            <w:r w:rsidRPr="00837D4A">
              <w:rPr>
                <w:rFonts w:ascii="Verdana" w:hAnsi="Verdana"/>
                <w:b/>
                <w:sz w:val="16"/>
                <w:szCs w:val="16"/>
                <w:lang w:val="en-US"/>
              </w:rPr>
              <w:tab/>
            </w:r>
            <w:r w:rsidRPr="00837D4A">
              <w:rPr>
                <w:rFonts w:ascii="Verdana" w:hAnsi="Verdana"/>
                <w:sz w:val="16"/>
                <w:szCs w:val="16"/>
                <w:lang w:val="en-US"/>
              </w:rPr>
              <w:t>Projection of volume, capacity and estimated costs in the operation, expressed in the applicable technical units;</w:t>
            </w:r>
          </w:p>
        </w:tc>
      </w:tr>
      <w:tr w:rsidR="009849AC" w:rsidRPr="002C0F16" w14:paraId="5881325A" w14:textId="1AB041D4" w:rsidTr="00F867DE">
        <w:tc>
          <w:tcPr>
            <w:tcW w:w="4711" w:type="dxa"/>
          </w:tcPr>
          <w:p w14:paraId="305F7110"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10.</w:t>
            </w:r>
            <w:r w:rsidRPr="00837D4A">
              <w:rPr>
                <w:rFonts w:ascii="Verdana" w:hAnsi="Verdana"/>
                <w:b/>
                <w:sz w:val="16"/>
                <w:szCs w:val="16"/>
              </w:rPr>
              <w:tab/>
            </w:r>
            <w:r w:rsidRPr="00837D4A">
              <w:rPr>
                <w:rFonts w:ascii="Verdana" w:hAnsi="Verdana"/>
                <w:sz w:val="16"/>
                <w:szCs w:val="16"/>
              </w:rPr>
              <w:t>Descripción detallada de la logística operativa que se debe implementar para el manejo de los productos objeto del permiso e incluir la interrelación con otras actividades reguladas aplicables en su caso, puntos de recepción, descarga, Almacenamiento y Transporte, hasta su destino final; identificar los medios utilizados, las instalaciones involucradas, su ubicación georreferenciada y los prestadores de servicios participantes en cada etapa del proceso, así como los permisos respectivos, lo anterior con el objeto de permitir la Trazabilidad del recurso energético o producto desde su origen;</w:t>
            </w:r>
          </w:p>
        </w:tc>
        <w:tc>
          <w:tcPr>
            <w:tcW w:w="4649" w:type="dxa"/>
          </w:tcPr>
          <w:p w14:paraId="76DA3016" w14:textId="5B5592C1"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10. </w:t>
            </w:r>
            <w:r w:rsidRPr="00837D4A">
              <w:rPr>
                <w:rFonts w:ascii="Verdana" w:hAnsi="Verdana"/>
                <w:b/>
                <w:sz w:val="16"/>
                <w:szCs w:val="16"/>
                <w:lang w:val="en-US"/>
              </w:rPr>
              <w:tab/>
            </w:r>
            <w:r w:rsidRPr="00837D4A">
              <w:rPr>
                <w:rFonts w:ascii="Verdana" w:hAnsi="Verdana"/>
                <w:sz w:val="16"/>
                <w:szCs w:val="16"/>
                <w:lang w:val="en-US"/>
              </w:rPr>
              <w:t>Detailed description of the operational logistics that must be implemented for the management of the products subject to the permit, including the interrelationship with other applicable regulated activities, where applicable, including reception, unloading, storage, and transportation points, up to their final destination; identifying the means used, the facilities involved, their georeferenced location, and the service providers participating in each stage of the process, as well as the respective permits, with the aim of enabling the traceability of the energy resource or product from its origin;</w:t>
            </w:r>
          </w:p>
        </w:tc>
      </w:tr>
      <w:tr w:rsidR="009849AC" w:rsidRPr="002C0F16" w14:paraId="09FED760" w14:textId="2B73C689" w:rsidTr="00F867DE">
        <w:tc>
          <w:tcPr>
            <w:tcW w:w="4711" w:type="dxa"/>
          </w:tcPr>
          <w:p w14:paraId="6F7581BB"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11.</w:t>
            </w:r>
            <w:r w:rsidRPr="00837D4A">
              <w:rPr>
                <w:rFonts w:ascii="Verdana" w:hAnsi="Verdana"/>
                <w:b/>
                <w:sz w:val="16"/>
                <w:szCs w:val="16"/>
              </w:rPr>
              <w:tab/>
            </w:r>
            <w:r w:rsidRPr="00837D4A">
              <w:rPr>
                <w:rFonts w:ascii="Verdana" w:hAnsi="Verdana"/>
                <w:sz w:val="16"/>
                <w:szCs w:val="16"/>
              </w:rPr>
              <w:t>Cronograma calendarizado del desarrollo técnico y financiero del proyecto, y</w:t>
            </w:r>
          </w:p>
        </w:tc>
        <w:tc>
          <w:tcPr>
            <w:tcW w:w="4649" w:type="dxa"/>
          </w:tcPr>
          <w:p w14:paraId="13944A11" w14:textId="7CEBE2C2"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11. </w:t>
            </w:r>
            <w:r w:rsidRPr="00837D4A">
              <w:rPr>
                <w:rFonts w:ascii="Verdana" w:hAnsi="Verdana"/>
                <w:b/>
                <w:sz w:val="16"/>
                <w:szCs w:val="16"/>
                <w:lang w:val="en-US"/>
              </w:rPr>
              <w:tab/>
            </w:r>
            <w:r w:rsidRPr="00837D4A">
              <w:rPr>
                <w:rFonts w:ascii="Verdana" w:hAnsi="Verdana"/>
                <w:sz w:val="16"/>
                <w:szCs w:val="16"/>
                <w:lang w:val="en-US"/>
              </w:rPr>
              <w:t>Scheduled timeline for the technical and financial development of the project, and</w:t>
            </w:r>
          </w:p>
        </w:tc>
      </w:tr>
      <w:tr w:rsidR="009849AC" w:rsidRPr="002C0F16" w14:paraId="61998943" w14:textId="3AEA2EEA" w:rsidTr="00F867DE">
        <w:tc>
          <w:tcPr>
            <w:tcW w:w="4711" w:type="dxa"/>
          </w:tcPr>
          <w:p w14:paraId="10993BD8" w14:textId="77777777" w:rsidR="009849AC" w:rsidRPr="00837D4A" w:rsidRDefault="009849AC" w:rsidP="009849AC">
            <w:pPr>
              <w:pStyle w:val="Texto"/>
              <w:spacing w:after="90"/>
              <w:ind w:firstLine="0"/>
              <w:rPr>
                <w:rFonts w:ascii="Verdana" w:hAnsi="Verdana"/>
                <w:sz w:val="16"/>
                <w:szCs w:val="16"/>
              </w:rPr>
            </w:pPr>
            <w:r w:rsidRPr="00837D4A">
              <w:rPr>
                <w:rFonts w:ascii="Verdana" w:hAnsi="Verdana"/>
                <w:b/>
                <w:sz w:val="16"/>
                <w:szCs w:val="16"/>
              </w:rPr>
              <w:t>12.</w:t>
            </w:r>
            <w:r w:rsidRPr="00837D4A">
              <w:rPr>
                <w:rFonts w:ascii="Verdana" w:hAnsi="Verdana"/>
                <w:b/>
                <w:sz w:val="16"/>
                <w:szCs w:val="16"/>
              </w:rPr>
              <w:tab/>
            </w:r>
            <w:r w:rsidRPr="00837D4A">
              <w:rPr>
                <w:rFonts w:ascii="Verdana" w:hAnsi="Verdana"/>
                <w:sz w:val="16"/>
                <w:szCs w:val="16"/>
              </w:rPr>
              <w:t>Descripción del impacto estimado del proyecto en el desarrollo eficiente del mercado energético correspondiente;</w:t>
            </w:r>
          </w:p>
        </w:tc>
        <w:tc>
          <w:tcPr>
            <w:tcW w:w="4649" w:type="dxa"/>
          </w:tcPr>
          <w:p w14:paraId="45169E73" w14:textId="006714DB"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12. </w:t>
            </w:r>
            <w:r w:rsidRPr="00837D4A">
              <w:rPr>
                <w:rFonts w:ascii="Verdana" w:hAnsi="Verdana"/>
                <w:b/>
                <w:sz w:val="16"/>
                <w:szCs w:val="16"/>
                <w:lang w:val="en-US"/>
              </w:rPr>
              <w:tab/>
            </w:r>
            <w:r w:rsidRPr="00837D4A">
              <w:rPr>
                <w:rFonts w:ascii="Verdana" w:hAnsi="Verdana"/>
                <w:sz w:val="16"/>
                <w:szCs w:val="16"/>
                <w:lang w:val="en-US"/>
              </w:rPr>
              <w:t>Description of the estimated impact of the project on the efficient development of the corresponding energy market;</w:t>
            </w:r>
          </w:p>
        </w:tc>
      </w:tr>
      <w:tr w:rsidR="009849AC" w:rsidRPr="00D0180E" w14:paraId="0AA35EC0" w14:textId="0FC97AA5" w:rsidTr="00F867DE">
        <w:tc>
          <w:tcPr>
            <w:tcW w:w="4711" w:type="dxa"/>
          </w:tcPr>
          <w:p w14:paraId="5A33A73B" w14:textId="77777777" w:rsidR="009849AC" w:rsidRPr="00837D4A" w:rsidRDefault="009849AC" w:rsidP="009849AC">
            <w:pPr>
              <w:pStyle w:val="Texto"/>
              <w:spacing w:after="90"/>
              <w:ind w:firstLine="0"/>
              <w:rPr>
                <w:rFonts w:ascii="Verdana" w:hAnsi="Verdana"/>
                <w:sz w:val="16"/>
                <w:szCs w:val="16"/>
                <w:lang w:val="es"/>
              </w:rPr>
            </w:pPr>
            <w:r w:rsidRPr="00837D4A">
              <w:rPr>
                <w:rFonts w:ascii="Verdana" w:hAnsi="Verdana"/>
                <w:b/>
                <w:sz w:val="16"/>
                <w:szCs w:val="16"/>
                <w:lang w:val="es"/>
              </w:rPr>
              <w:t>II.</w:t>
            </w:r>
            <w:r w:rsidRPr="00837D4A">
              <w:rPr>
                <w:rFonts w:ascii="Verdana" w:hAnsi="Verdana"/>
                <w:b/>
                <w:sz w:val="16"/>
                <w:szCs w:val="16"/>
                <w:lang w:val="es"/>
              </w:rPr>
              <w:tab/>
            </w:r>
            <w:r w:rsidRPr="00837D4A">
              <w:rPr>
                <w:rFonts w:ascii="Verdana" w:hAnsi="Verdana"/>
                <w:sz w:val="16"/>
                <w:szCs w:val="16"/>
                <w:lang w:val="es"/>
              </w:rPr>
              <w:t>Acreditar la personalidad jurídica:</w:t>
            </w:r>
          </w:p>
        </w:tc>
        <w:tc>
          <w:tcPr>
            <w:tcW w:w="4649" w:type="dxa"/>
          </w:tcPr>
          <w:p w14:paraId="3F72CFC0" w14:textId="30038A5F"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s"/>
              </w:rPr>
              <w:t xml:space="preserve">II. </w:t>
            </w:r>
            <w:r w:rsidRPr="00837D4A">
              <w:rPr>
                <w:rFonts w:ascii="Verdana" w:hAnsi="Verdana"/>
                <w:b/>
                <w:sz w:val="16"/>
                <w:szCs w:val="16"/>
                <w:lang w:val="es"/>
              </w:rPr>
              <w:tab/>
            </w:r>
            <w:r w:rsidRPr="00837D4A">
              <w:rPr>
                <w:rFonts w:ascii="Verdana" w:hAnsi="Verdana"/>
                <w:sz w:val="16"/>
                <w:szCs w:val="16"/>
                <w:lang w:val="en-US"/>
              </w:rPr>
              <w:t>Prove legal standing</w:t>
            </w:r>
            <w:r w:rsidRPr="00837D4A">
              <w:rPr>
                <w:rFonts w:ascii="Verdana" w:hAnsi="Verdana"/>
                <w:sz w:val="16"/>
                <w:szCs w:val="16"/>
                <w:lang w:val="es"/>
              </w:rPr>
              <w:t>:</w:t>
            </w:r>
          </w:p>
        </w:tc>
      </w:tr>
      <w:tr w:rsidR="009849AC" w:rsidRPr="00A84A8A" w14:paraId="3885543A" w14:textId="3298E15A" w:rsidTr="00F867DE">
        <w:tc>
          <w:tcPr>
            <w:tcW w:w="4711" w:type="dxa"/>
          </w:tcPr>
          <w:p w14:paraId="387696D6" w14:textId="77777777" w:rsidR="009849AC" w:rsidRPr="00837D4A" w:rsidRDefault="009849AC" w:rsidP="009849AC">
            <w:pPr>
              <w:pStyle w:val="Texto"/>
              <w:spacing w:after="90"/>
              <w:ind w:firstLine="0"/>
              <w:rPr>
                <w:rFonts w:ascii="Verdana" w:hAnsi="Verdana"/>
                <w:sz w:val="16"/>
                <w:szCs w:val="16"/>
                <w:lang w:val="es"/>
              </w:rPr>
            </w:pPr>
            <w:r w:rsidRPr="00837D4A">
              <w:rPr>
                <w:rFonts w:ascii="Verdana" w:hAnsi="Verdana"/>
                <w:b/>
                <w:sz w:val="16"/>
                <w:szCs w:val="16"/>
                <w:lang w:val="es"/>
              </w:rPr>
              <w:t>a)</w:t>
            </w:r>
            <w:r w:rsidRPr="00837D4A">
              <w:rPr>
                <w:rFonts w:ascii="Verdana" w:hAnsi="Verdana"/>
                <w:b/>
                <w:sz w:val="16"/>
                <w:szCs w:val="16"/>
                <w:lang w:val="es"/>
              </w:rPr>
              <w:tab/>
            </w:r>
            <w:r w:rsidRPr="00837D4A">
              <w:rPr>
                <w:rFonts w:ascii="Verdana" w:hAnsi="Verdana"/>
                <w:sz w:val="16"/>
                <w:szCs w:val="16"/>
                <w:lang w:val="es"/>
              </w:rPr>
              <w:t>Para Personas Morales:</w:t>
            </w:r>
          </w:p>
        </w:tc>
        <w:tc>
          <w:tcPr>
            <w:tcW w:w="4649" w:type="dxa"/>
          </w:tcPr>
          <w:p w14:paraId="2E0A030D" w14:textId="615E142D"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 xml:space="preserve">For Legal Entities (corporations, joint investments, </w:t>
            </w:r>
            <w:proofErr w:type="spellStart"/>
            <w:r w:rsidRPr="00837D4A">
              <w:rPr>
                <w:rFonts w:ascii="Verdana" w:hAnsi="Verdana"/>
                <w:sz w:val="16"/>
                <w:szCs w:val="16"/>
                <w:lang w:val="en-US"/>
              </w:rPr>
              <w:t>etc</w:t>
            </w:r>
            <w:proofErr w:type="spellEnd"/>
            <w:r w:rsidRPr="00837D4A">
              <w:rPr>
                <w:rFonts w:ascii="Verdana" w:hAnsi="Verdana"/>
                <w:sz w:val="16"/>
                <w:szCs w:val="16"/>
                <w:lang w:val="en-US"/>
              </w:rPr>
              <w:t>:</w:t>
            </w:r>
          </w:p>
        </w:tc>
      </w:tr>
      <w:tr w:rsidR="009849AC" w:rsidRPr="002C0F16" w14:paraId="204E9106" w14:textId="5123DCE4" w:rsidTr="00F867DE">
        <w:tc>
          <w:tcPr>
            <w:tcW w:w="4711" w:type="dxa"/>
          </w:tcPr>
          <w:p w14:paraId="6DFD0FA8" w14:textId="7138F429" w:rsidR="009849AC" w:rsidRPr="00837D4A" w:rsidRDefault="009849AC" w:rsidP="009849AC">
            <w:pPr>
              <w:pStyle w:val="Texto"/>
              <w:spacing w:after="90"/>
              <w:ind w:firstLine="0"/>
              <w:rPr>
                <w:rFonts w:ascii="Verdana" w:hAnsi="Verdana"/>
                <w:sz w:val="16"/>
                <w:szCs w:val="16"/>
                <w:lang w:val="es"/>
              </w:rPr>
            </w:pPr>
            <w:r w:rsidRPr="00837D4A">
              <w:rPr>
                <w:rFonts w:ascii="Verdana" w:hAnsi="Verdana"/>
                <w:b/>
                <w:sz w:val="16"/>
                <w:szCs w:val="16"/>
                <w:lang w:val="es"/>
              </w:rPr>
              <w:t>1.</w:t>
            </w:r>
            <w:r w:rsidRPr="00837D4A">
              <w:rPr>
                <w:rFonts w:ascii="Verdana" w:hAnsi="Verdana"/>
                <w:b/>
                <w:sz w:val="16"/>
                <w:szCs w:val="16"/>
                <w:lang w:val="es"/>
              </w:rPr>
              <w:tab/>
            </w:r>
            <w:r w:rsidRPr="00837D4A">
              <w:rPr>
                <w:rFonts w:ascii="Verdana" w:hAnsi="Verdana"/>
                <w:sz w:val="16"/>
                <w:szCs w:val="16"/>
                <w:lang w:val="es"/>
              </w:rPr>
              <w:t xml:space="preserve">Acta constitutiva y, en su caso las modificaciones, con las que se acredite su existencia legal, y en la que el objeto social de la persona solicitante se encuentre directamente vinculada con la actividad regulada, y </w:t>
            </w:r>
          </w:p>
        </w:tc>
        <w:tc>
          <w:tcPr>
            <w:tcW w:w="4649" w:type="dxa"/>
          </w:tcPr>
          <w:p w14:paraId="67DE087E" w14:textId="43FDE2C7"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1. </w:t>
            </w:r>
            <w:r w:rsidRPr="00837D4A">
              <w:rPr>
                <w:rFonts w:ascii="Verdana" w:hAnsi="Verdana"/>
                <w:b/>
                <w:sz w:val="16"/>
                <w:szCs w:val="16"/>
                <w:lang w:val="en-US"/>
              </w:rPr>
              <w:tab/>
            </w:r>
            <w:r w:rsidRPr="00837D4A">
              <w:rPr>
                <w:rFonts w:ascii="Verdana" w:hAnsi="Verdana"/>
                <w:sz w:val="16"/>
                <w:szCs w:val="16"/>
                <w:lang w:val="en-US"/>
              </w:rPr>
              <w:t>Articles of incorporation and, where applicable, any amendments, which prove its legal existence, and in which the corporate purpose of the applicant is directly linked to the regulated activity, and</w:t>
            </w:r>
          </w:p>
        </w:tc>
      </w:tr>
      <w:tr w:rsidR="009849AC" w:rsidRPr="002C0F16" w14:paraId="06CAB02F" w14:textId="4BF8B8AB" w:rsidTr="00F867DE">
        <w:tc>
          <w:tcPr>
            <w:tcW w:w="4711" w:type="dxa"/>
          </w:tcPr>
          <w:p w14:paraId="011E69BA" w14:textId="77777777" w:rsidR="009849AC" w:rsidRPr="00837D4A" w:rsidRDefault="009849AC" w:rsidP="009849AC">
            <w:pPr>
              <w:pStyle w:val="Texto"/>
              <w:spacing w:after="90"/>
              <w:ind w:firstLine="0"/>
              <w:rPr>
                <w:rFonts w:ascii="Verdana" w:hAnsi="Verdana"/>
                <w:sz w:val="16"/>
                <w:szCs w:val="16"/>
                <w:lang w:val="es"/>
              </w:rPr>
            </w:pPr>
            <w:r w:rsidRPr="00837D4A">
              <w:rPr>
                <w:rFonts w:ascii="Verdana" w:hAnsi="Verdana"/>
                <w:b/>
                <w:sz w:val="16"/>
                <w:szCs w:val="16"/>
                <w:lang w:val="es"/>
              </w:rPr>
              <w:t>2.</w:t>
            </w:r>
            <w:r w:rsidRPr="00837D4A">
              <w:rPr>
                <w:rFonts w:ascii="Verdana" w:hAnsi="Verdana"/>
                <w:b/>
                <w:sz w:val="16"/>
                <w:szCs w:val="16"/>
                <w:lang w:val="es"/>
              </w:rPr>
              <w:tab/>
            </w:r>
            <w:r w:rsidRPr="00837D4A">
              <w:rPr>
                <w:rFonts w:ascii="Verdana" w:hAnsi="Verdana"/>
                <w:sz w:val="16"/>
                <w:szCs w:val="16"/>
                <w:lang w:val="es"/>
              </w:rPr>
              <w:t>Diagrama de la estructura accionaria y corporativa que incluya los porcentajes de participación en el capital social y la identificación de las personas físicas o morales que ejerzan control directo o indirecto sobre la sociedad;</w:t>
            </w:r>
          </w:p>
        </w:tc>
        <w:tc>
          <w:tcPr>
            <w:tcW w:w="4649" w:type="dxa"/>
          </w:tcPr>
          <w:p w14:paraId="1FD14B5E" w14:textId="2FE2952C"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2. </w:t>
            </w:r>
            <w:r w:rsidRPr="00837D4A">
              <w:rPr>
                <w:rFonts w:ascii="Verdana" w:hAnsi="Verdana"/>
                <w:b/>
                <w:sz w:val="16"/>
                <w:szCs w:val="16"/>
                <w:lang w:val="en-US"/>
              </w:rPr>
              <w:tab/>
            </w:r>
            <w:r w:rsidRPr="00837D4A">
              <w:rPr>
                <w:rFonts w:ascii="Verdana" w:hAnsi="Verdana"/>
                <w:sz w:val="16"/>
                <w:szCs w:val="16"/>
                <w:lang w:val="en-US"/>
              </w:rPr>
              <w:t xml:space="preserve">Diagram of the shareholding and corporate structure that includes the percentages of participation in the share capital and the identification of the Individual or legal </w:t>
            </w:r>
            <w:proofErr w:type="spellStart"/>
            <w:r w:rsidRPr="00837D4A">
              <w:rPr>
                <w:rFonts w:ascii="Verdana" w:hAnsi="Verdana"/>
                <w:sz w:val="16"/>
                <w:szCs w:val="16"/>
                <w:lang w:val="en-US"/>
              </w:rPr>
              <w:t>entitys</w:t>
            </w:r>
            <w:proofErr w:type="spellEnd"/>
            <w:r w:rsidRPr="00837D4A">
              <w:rPr>
                <w:rFonts w:ascii="Verdana" w:hAnsi="Verdana"/>
                <w:sz w:val="16"/>
                <w:szCs w:val="16"/>
                <w:lang w:val="en-US"/>
              </w:rPr>
              <w:t xml:space="preserve"> that exercise direct or indirect control over the company;</w:t>
            </w:r>
          </w:p>
        </w:tc>
      </w:tr>
      <w:tr w:rsidR="009849AC" w:rsidRPr="00D0180E" w14:paraId="26F28748" w14:textId="3B45276C" w:rsidTr="00F867DE">
        <w:tc>
          <w:tcPr>
            <w:tcW w:w="4711" w:type="dxa"/>
          </w:tcPr>
          <w:p w14:paraId="28D5A39D" w14:textId="77777777" w:rsidR="009849AC" w:rsidRPr="00837D4A" w:rsidRDefault="009849AC" w:rsidP="009849AC">
            <w:pPr>
              <w:pStyle w:val="Texto"/>
              <w:spacing w:after="90"/>
              <w:ind w:firstLine="0"/>
              <w:rPr>
                <w:rFonts w:ascii="Verdana" w:hAnsi="Verdana"/>
                <w:sz w:val="16"/>
                <w:szCs w:val="16"/>
                <w:lang w:val="es"/>
              </w:rPr>
            </w:pPr>
            <w:r w:rsidRPr="00837D4A">
              <w:rPr>
                <w:rFonts w:ascii="Verdana" w:hAnsi="Verdana"/>
                <w:b/>
                <w:sz w:val="16"/>
                <w:szCs w:val="16"/>
                <w:lang w:val="es"/>
              </w:rPr>
              <w:t>b)</w:t>
            </w:r>
            <w:r w:rsidRPr="00837D4A">
              <w:rPr>
                <w:rFonts w:ascii="Verdana" w:hAnsi="Verdana"/>
                <w:b/>
                <w:sz w:val="16"/>
                <w:szCs w:val="16"/>
                <w:lang w:val="es"/>
              </w:rPr>
              <w:tab/>
            </w:r>
            <w:r w:rsidRPr="00837D4A">
              <w:rPr>
                <w:rFonts w:ascii="Verdana" w:hAnsi="Verdana"/>
                <w:sz w:val="16"/>
                <w:szCs w:val="16"/>
                <w:lang w:val="es"/>
              </w:rPr>
              <w:t>Para personas físicas:</w:t>
            </w:r>
          </w:p>
        </w:tc>
        <w:tc>
          <w:tcPr>
            <w:tcW w:w="4649" w:type="dxa"/>
          </w:tcPr>
          <w:p w14:paraId="67061EA4" w14:textId="3ECBA5C4"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s"/>
              </w:rPr>
              <w:t xml:space="preserve">b) </w:t>
            </w:r>
            <w:r w:rsidRPr="00837D4A">
              <w:rPr>
                <w:rFonts w:ascii="Verdana" w:hAnsi="Verdana"/>
                <w:b/>
                <w:sz w:val="16"/>
                <w:szCs w:val="16"/>
                <w:lang w:val="es"/>
              </w:rPr>
              <w:tab/>
            </w:r>
            <w:proofErr w:type="spellStart"/>
            <w:r w:rsidRPr="00837D4A">
              <w:rPr>
                <w:rFonts w:ascii="Verdana" w:hAnsi="Verdana"/>
                <w:sz w:val="16"/>
                <w:szCs w:val="16"/>
                <w:lang w:val="es"/>
              </w:rPr>
              <w:t>For</w:t>
            </w:r>
            <w:proofErr w:type="spellEnd"/>
            <w:r w:rsidRPr="00837D4A">
              <w:rPr>
                <w:rFonts w:ascii="Verdana" w:hAnsi="Verdana"/>
                <w:sz w:val="16"/>
                <w:szCs w:val="16"/>
                <w:lang w:val="es"/>
              </w:rPr>
              <w:t xml:space="preserve"> </w:t>
            </w:r>
            <w:proofErr w:type="spellStart"/>
            <w:r w:rsidRPr="00837D4A">
              <w:rPr>
                <w:rFonts w:ascii="Verdana" w:hAnsi="Verdana"/>
                <w:sz w:val="16"/>
                <w:szCs w:val="16"/>
                <w:lang w:val="es"/>
              </w:rPr>
              <w:t>individuals</w:t>
            </w:r>
            <w:proofErr w:type="spellEnd"/>
            <w:r w:rsidRPr="00837D4A">
              <w:rPr>
                <w:rFonts w:ascii="Verdana" w:hAnsi="Verdana"/>
                <w:sz w:val="16"/>
                <w:szCs w:val="16"/>
                <w:lang w:val="es"/>
              </w:rPr>
              <w:t>:</w:t>
            </w:r>
          </w:p>
        </w:tc>
      </w:tr>
      <w:tr w:rsidR="009849AC" w:rsidRPr="00D0180E" w14:paraId="4AA18CF7" w14:textId="70D2738F" w:rsidTr="00F867DE">
        <w:tc>
          <w:tcPr>
            <w:tcW w:w="4711" w:type="dxa"/>
          </w:tcPr>
          <w:p w14:paraId="413C8AB1" w14:textId="77777777" w:rsidR="009849AC" w:rsidRPr="00837D4A" w:rsidRDefault="009849AC" w:rsidP="009849AC">
            <w:pPr>
              <w:pStyle w:val="Texto"/>
              <w:spacing w:after="90"/>
              <w:ind w:firstLine="0"/>
              <w:rPr>
                <w:rFonts w:ascii="Verdana" w:hAnsi="Verdana"/>
                <w:sz w:val="16"/>
                <w:szCs w:val="16"/>
                <w:lang w:val="es"/>
              </w:rPr>
            </w:pPr>
            <w:r w:rsidRPr="00837D4A">
              <w:rPr>
                <w:rFonts w:ascii="Verdana" w:hAnsi="Verdana"/>
                <w:b/>
                <w:sz w:val="16"/>
                <w:szCs w:val="16"/>
                <w:lang w:val="es"/>
              </w:rPr>
              <w:t>1.</w:t>
            </w:r>
            <w:r w:rsidRPr="00837D4A">
              <w:rPr>
                <w:rFonts w:ascii="Verdana" w:hAnsi="Verdana"/>
                <w:b/>
                <w:sz w:val="16"/>
                <w:szCs w:val="16"/>
                <w:lang w:val="es"/>
              </w:rPr>
              <w:tab/>
            </w:r>
            <w:r w:rsidRPr="00837D4A">
              <w:rPr>
                <w:rFonts w:ascii="Verdana" w:hAnsi="Verdana"/>
                <w:sz w:val="16"/>
                <w:szCs w:val="16"/>
                <w:lang w:val="es"/>
              </w:rPr>
              <w:t>Identificación oficial, y</w:t>
            </w:r>
          </w:p>
        </w:tc>
        <w:tc>
          <w:tcPr>
            <w:tcW w:w="4649" w:type="dxa"/>
          </w:tcPr>
          <w:p w14:paraId="54A82A10" w14:textId="25A321F4"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s"/>
              </w:rPr>
              <w:t xml:space="preserve">1. </w:t>
            </w:r>
            <w:r w:rsidRPr="00837D4A">
              <w:rPr>
                <w:rFonts w:ascii="Verdana" w:hAnsi="Verdana"/>
                <w:b/>
                <w:sz w:val="16"/>
                <w:szCs w:val="16"/>
                <w:lang w:val="es"/>
              </w:rPr>
              <w:tab/>
            </w:r>
            <w:proofErr w:type="spellStart"/>
            <w:r w:rsidRPr="00837D4A">
              <w:rPr>
                <w:rFonts w:ascii="Verdana" w:hAnsi="Verdana"/>
                <w:sz w:val="16"/>
                <w:szCs w:val="16"/>
                <w:lang w:val="es"/>
              </w:rPr>
              <w:t>Official</w:t>
            </w:r>
            <w:proofErr w:type="spellEnd"/>
            <w:r w:rsidRPr="00837D4A">
              <w:rPr>
                <w:rFonts w:ascii="Verdana" w:hAnsi="Verdana"/>
                <w:sz w:val="16"/>
                <w:szCs w:val="16"/>
                <w:lang w:val="es"/>
              </w:rPr>
              <w:t xml:space="preserve"> </w:t>
            </w:r>
            <w:proofErr w:type="spellStart"/>
            <w:r w:rsidRPr="00837D4A">
              <w:rPr>
                <w:rFonts w:ascii="Verdana" w:hAnsi="Verdana"/>
                <w:sz w:val="16"/>
                <w:szCs w:val="16"/>
                <w:lang w:val="es"/>
              </w:rPr>
              <w:t>identification</w:t>
            </w:r>
            <w:proofErr w:type="spellEnd"/>
            <w:r w:rsidRPr="00837D4A">
              <w:rPr>
                <w:rFonts w:ascii="Verdana" w:hAnsi="Verdana"/>
                <w:sz w:val="16"/>
                <w:szCs w:val="16"/>
                <w:lang w:val="es"/>
              </w:rPr>
              <w:t>, and</w:t>
            </w:r>
          </w:p>
        </w:tc>
      </w:tr>
      <w:tr w:rsidR="009849AC" w:rsidRPr="002C0F16" w14:paraId="3751A468" w14:textId="52627E0E" w:rsidTr="00F867DE">
        <w:tc>
          <w:tcPr>
            <w:tcW w:w="4711" w:type="dxa"/>
          </w:tcPr>
          <w:p w14:paraId="32A9CE07" w14:textId="77777777" w:rsidR="009849AC" w:rsidRPr="00837D4A" w:rsidRDefault="009849AC" w:rsidP="009849AC">
            <w:pPr>
              <w:pStyle w:val="Texto"/>
              <w:spacing w:after="90"/>
              <w:ind w:firstLine="0"/>
              <w:rPr>
                <w:rFonts w:ascii="Verdana" w:hAnsi="Verdana"/>
                <w:sz w:val="16"/>
                <w:szCs w:val="16"/>
                <w:lang w:val="es"/>
              </w:rPr>
            </w:pPr>
            <w:r w:rsidRPr="00837D4A">
              <w:rPr>
                <w:rFonts w:ascii="Verdana" w:hAnsi="Verdana"/>
                <w:b/>
                <w:sz w:val="16"/>
                <w:szCs w:val="16"/>
                <w:lang w:val="es"/>
              </w:rPr>
              <w:t>2.</w:t>
            </w:r>
            <w:r w:rsidRPr="00837D4A">
              <w:rPr>
                <w:rFonts w:ascii="Verdana" w:hAnsi="Verdana"/>
                <w:b/>
                <w:sz w:val="16"/>
                <w:szCs w:val="16"/>
                <w:lang w:val="es"/>
              </w:rPr>
              <w:tab/>
            </w:r>
            <w:r w:rsidRPr="00837D4A">
              <w:rPr>
                <w:rFonts w:ascii="Verdana" w:hAnsi="Verdana"/>
                <w:sz w:val="16"/>
                <w:szCs w:val="16"/>
                <w:lang w:val="es"/>
              </w:rPr>
              <w:t>Acreditar que la actividad regulada a desarrollar se encuentre directamente vinculada con la actividad económica de la persona solicitante conforme a su régimen fiscal;</w:t>
            </w:r>
          </w:p>
        </w:tc>
        <w:tc>
          <w:tcPr>
            <w:tcW w:w="4649" w:type="dxa"/>
          </w:tcPr>
          <w:p w14:paraId="278ABB8D" w14:textId="5BF1BA8C"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2. </w:t>
            </w:r>
            <w:r w:rsidRPr="00837D4A">
              <w:rPr>
                <w:rFonts w:ascii="Verdana" w:hAnsi="Verdana"/>
                <w:b/>
                <w:sz w:val="16"/>
                <w:szCs w:val="16"/>
                <w:lang w:val="en-US"/>
              </w:rPr>
              <w:tab/>
            </w:r>
            <w:r w:rsidRPr="00837D4A">
              <w:rPr>
                <w:rFonts w:ascii="Verdana" w:hAnsi="Verdana"/>
                <w:sz w:val="16"/>
                <w:szCs w:val="16"/>
                <w:lang w:val="en-US"/>
              </w:rPr>
              <w:t>Verify that the regulated activity to be developed is directly linked to the economic activity of the applicant in accordance with their tax regime;</w:t>
            </w:r>
          </w:p>
        </w:tc>
      </w:tr>
      <w:tr w:rsidR="009849AC" w:rsidRPr="002C0F16" w14:paraId="3C2F72CF" w14:textId="1049C93F" w:rsidTr="00F867DE">
        <w:tc>
          <w:tcPr>
            <w:tcW w:w="4711" w:type="dxa"/>
          </w:tcPr>
          <w:p w14:paraId="521CF6A8" w14:textId="77777777" w:rsidR="009849AC" w:rsidRPr="00837D4A" w:rsidRDefault="009849AC" w:rsidP="009849AC">
            <w:pPr>
              <w:pStyle w:val="Texto"/>
              <w:spacing w:after="90"/>
              <w:ind w:firstLine="0"/>
              <w:rPr>
                <w:rFonts w:ascii="Verdana" w:hAnsi="Verdana"/>
                <w:sz w:val="16"/>
                <w:szCs w:val="16"/>
                <w:lang w:val="es"/>
              </w:rPr>
            </w:pPr>
            <w:r w:rsidRPr="00837D4A">
              <w:rPr>
                <w:rFonts w:ascii="Verdana" w:hAnsi="Verdana"/>
                <w:b/>
                <w:sz w:val="16"/>
                <w:szCs w:val="16"/>
                <w:lang w:val="es"/>
              </w:rPr>
              <w:t>c)</w:t>
            </w:r>
            <w:r w:rsidRPr="00837D4A">
              <w:rPr>
                <w:rFonts w:ascii="Verdana" w:hAnsi="Verdana"/>
                <w:b/>
                <w:sz w:val="16"/>
                <w:szCs w:val="16"/>
                <w:lang w:val="es"/>
              </w:rPr>
              <w:tab/>
            </w:r>
            <w:r w:rsidRPr="00837D4A">
              <w:rPr>
                <w:rFonts w:ascii="Verdana" w:hAnsi="Verdana"/>
                <w:sz w:val="16"/>
                <w:szCs w:val="16"/>
                <w:lang w:val="es"/>
              </w:rPr>
              <w:t>En el caso de las entidades públicas, deben acreditar su personalidad y capacidad jurídica con el documento oficial de su creación o aquel que corresponda según su naturaleza, y</w:t>
            </w:r>
          </w:p>
        </w:tc>
        <w:tc>
          <w:tcPr>
            <w:tcW w:w="4649" w:type="dxa"/>
          </w:tcPr>
          <w:p w14:paraId="79BA3220" w14:textId="3A721952" w:rsidR="009849AC" w:rsidRPr="00837D4A" w:rsidRDefault="009849AC" w:rsidP="009849AC">
            <w:pPr>
              <w:pStyle w:val="Texto"/>
              <w:spacing w:after="90"/>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In the case of public entities, they must prove their legal standing and capacity with the official document of their creation or the one that corresponds to their nature, and</w:t>
            </w:r>
          </w:p>
        </w:tc>
      </w:tr>
      <w:tr w:rsidR="009849AC" w:rsidRPr="002C0F16" w14:paraId="510D52A0" w14:textId="7721F753" w:rsidTr="00F867DE">
        <w:tc>
          <w:tcPr>
            <w:tcW w:w="4711" w:type="dxa"/>
          </w:tcPr>
          <w:p w14:paraId="035438A2" w14:textId="77777777" w:rsidR="009849AC" w:rsidRPr="00837D4A" w:rsidRDefault="009849AC" w:rsidP="009849AC">
            <w:pPr>
              <w:pStyle w:val="Texto"/>
              <w:ind w:firstLine="0"/>
              <w:rPr>
                <w:rFonts w:ascii="Verdana" w:hAnsi="Verdana"/>
                <w:sz w:val="16"/>
                <w:szCs w:val="16"/>
                <w:lang w:val="es"/>
              </w:rPr>
            </w:pPr>
            <w:r w:rsidRPr="00837D4A">
              <w:rPr>
                <w:rFonts w:ascii="Verdana" w:hAnsi="Verdana"/>
                <w:b/>
                <w:sz w:val="16"/>
                <w:szCs w:val="16"/>
                <w:lang w:val="es"/>
              </w:rPr>
              <w:lastRenderedPageBreak/>
              <w:t>d)</w:t>
            </w:r>
            <w:r w:rsidRPr="00837D4A">
              <w:rPr>
                <w:rFonts w:ascii="Verdana" w:hAnsi="Verdana"/>
                <w:b/>
                <w:sz w:val="16"/>
                <w:szCs w:val="16"/>
                <w:lang w:val="es"/>
              </w:rPr>
              <w:tab/>
            </w:r>
            <w:r w:rsidRPr="00837D4A">
              <w:rPr>
                <w:rFonts w:ascii="Verdana" w:hAnsi="Verdana"/>
                <w:sz w:val="16"/>
                <w:szCs w:val="16"/>
                <w:lang w:val="es"/>
              </w:rPr>
              <w:t>Para acreditar la personalidad y capacidad jurídica del representante legal o apoderado de la persona solicitante:</w:t>
            </w:r>
          </w:p>
        </w:tc>
        <w:tc>
          <w:tcPr>
            <w:tcW w:w="4649" w:type="dxa"/>
          </w:tcPr>
          <w:p w14:paraId="6D1A152C" w14:textId="5214CFFE"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To prove the personality and legal capacity of the legal representative or attorney of the applicant:</w:t>
            </w:r>
          </w:p>
        </w:tc>
      </w:tr>
      <w:tr w:rsidR="009849AC" w:rsidRPr="00D0180E" w14:paraId="18D7F365" w14:textId="1CAB3A17" w:rsidTr="00F867DE">
        <w:tc>
          <w:tcPr>
            <w:tcW w:w="4711" w:type="dxa"/>
          </w:tcPr>
          <w:p w14:paraId="0727B1AD" w14:textId="77777777" w:rsidR="009849AC" w:rsidRPr="00837D4A" w:rsidRDefault="009849AC" w:rsidP="009849AC">
            <w:pPr>
              <w:pStyle w:val="Texto"/>
              <w:ind w:firstLine="0"/>
              <w:rPr>
                <w:rFonts w:ascii="Verdana" w:hAnsi="Verdana"/>
                <w:sz w:val="16"/>
                <w:szCs w:val="16"/>
                <w:lang w:val="es"/>
              </w:rPr>
            </w:pPr>
            <w:r w:rsidRPr="00837D4A">
              <w:rPr>
                <w:rFonts w:ascii="Verdana" w:hAnsi="Verdana"/>
                <w:b/>
                <w:sz w:val="16"/>
                <w:szCs w:val="16"/>
                <w:lang w:val="es"/>
              </w:rPr>
              <w:t>1.</w:t>
            </w:r>
            <w:r w:rsidRPr="00837D4A">
              <w:rPr>
                <w:rFonts w:ascii="Verdana" w:hAnsi="Verdana"/>
                <w:b/>
                <w:sz w:val="16"/>
                <w:szCs w:val="16"/>
                <w:lang w:val="es"/>
              </w:rPr>
              <w:tab/>
            </w:r>
            <w:r w:rsidRPr="00837D4A">
              <w:rPr>
                <w:rFonts w:ascii="Verdana" w:hAnsi="Verdana"/>
                <w:sz w:val="16"/>
                <w:szCs w:val="16"/>
                <w:lang w:val="es"/>
              </w:rPr>
              <w:t>Identificación oficial, y</w:t>
            </w:r>
          </w:p>
        </w:tc>
        <w:tc>
          <w:tcPr>
            <w:tcW w:w="4649" w:type="dxa"/>
          </w:tcPr>
          <w:p w14:paraId="6FE036A1" w14:textId="037C12B4"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s"/>
              </w:rPr>
              <w:t xml:space="preserve">1. </w:t>
            </w:r>
            <w:r w:rsidRPr="00837D4A">
              <w:rPr>
                <w:rFonts w:ascii="Verdana" w:hAnsi="Verdana"/>
                <w:b/>
                <w:sz w:val="16"/>
                <w:szCs w:val="16"/>
                <w:lang w:val="es"/>
              </w:rPr>
              <w:tab/>
            </w:r>
            <w:proofErr w:type="spellStart"/>
            <w:r w:rsidRPr="00837D4A">
              <w:rPr>
                <w:rFonts w:ascii="Verdana" w:hAnsi="Verdana"/>
                <w:sz w:val="16"/>
                <w:szCs w:val="16"/>
                <w:lang w:val="es"/>
              </w:rPr>
              <w:t>Official</w:t>
            </w:r>
            <w:proofErr w:type="spellEnd"/>
            <w:r w:rsidRPr="00837D4A">
              <w:rPr>
                <w:rFonts w:ascii="Verdana" w:hAnsi="Verdana"/>
                <w:sz w:val="16"/>
                <w:szCs w:val="16"/>
                <w:lang w:val="es"/>
              </w:rPr>
              <w:t xml:space="preserve"> </w:t>
            </w:r>
            <w:proofErr w:type="spellStart"/>
            <w:r w:rsidRPr="00837D4A">
              <w:rPr>
                <w:rFonts w:ascii="Verdana" w:hAnsi="Verdana"/>
                <w:sz w:val="16"/>
                <w:szCs w:val="16"/>
                <w:lang w:val="es"/>
              </w:rPr>
              <w:t>identification</w:t>
            </w:r>
            <w:proofErr w:type="spellEnd"/>
            <w:r w:rsidRPr="00837D4A">
              <w:rPr>
                <w:rFonts w:ascii="Verdana" w:hAnsi="Verdana"/>
                <w:sz w:val="16"/>
                <w:szCs w:val="16"/>
                <w:lang w:val="es"/>
              </w:rPr>
              <w:t>, and</w:t>
            </w:r>
          </w:p>
        </w:tc>
      </w:tr>
      <w:tr w:rsidR="009849AC" w:rsidRPr="002C0F16" w14:paraId="55C8AB2F" w14:textId="079CBA20" w:rsidTr="00F867DE">
        <w:tc>
          <w:tcPr>
            <w:tcW w:w="4711" w:type="dxa"/>
          </w:tcPr>
          <w:p w14:paraId="2FA1305A" w14:textId="77777777" w:rsidR="009849AC" w:rsidRPr="00837D4A" w:rsidRDefault="009849AC" w:rsidP="009849AC">
            <w:pPr>
              <w:pStyle w:val="Texto"/>
              <w:ind w:firstLine="0"/>
              <w:rPr>
                <w:rFonts w:ascii="Verdana" w:hAnsi="Verdana"/>
                <w:sz w:val="16"/>
                <w:szCs w:val="16"/>
                <w:lang w:val="es"/>
              </w:rPr>
            </w:pPr>
            <w:r w:rsidRPr="00837D4A">
              <w:rPr>
                <w:rFonts w:ascii="Verdana" w:hAnsi="Verdana"/>
                <w:b/>
                <w:sz w:val="16"/>
                <w:szCs w:val="16"/>
                <w:lang w:val="es"/>
              </w:rPr>
              <w:t>2.</w:t>
            </w:r>
            <w:r w:rsidRPr="00837D4A">
              <w:rPr>
                <w:rFonts w:ascii="Verdana" w:hAnsi="Verdana"/>
                <w:b/>
                <w:sz w:val="16"/>
                <w:szCs w:val="16"/>
                <w:lang w:val="es"/>
              </w:rPr>
              <w:tab/>
            </w:r>
            <w:r w:rsidRPr="00837D4A">
              <w:rPr>
                <w:rFonts w:ascii="Verdana" w:hAnsi="Verdana"/>
                <w:sz w:val="16"/>
                <w:szCs w:val="16"/>
                <w:lang w:val="es"/>
              </w:rPr>
              <w:t>Instrumento notarial en el que conste el poder otorgado a su representante legal o apoderado, así como sus facultades;</w:t>
            </w:r>
          </w:p>
        </w:tc>
        <w:tc>
          <w:tcPr>
            <w:tcW w:w="4649" w:type="dxa"/>
          </w:tcPr>
          <w:p w14:paraId="229D0603" w14:textId="49E6252F"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2. </w:t>
            </w:r>
            <w:r w:rsidRPr="00837D4A">
              <w:rPr>
                <w:rFonts w:ascii="Verdana" w:hAnsi="Verdana"/>
                <w:b/>
                <w:sz w:val="16"/>
                <w:szCs w:val="16"/>
                <w:lang w:val="en-US"/>
              </w:rPr>
              <w:tab/>
            </w:r>
            <w:r w:rsidRPr="00837D4A">
              <w:rPr>
                <w:rFonts w:ascii="Verdana" w:hAnsi="Verdana"/>
                <w:sz w:val="16"/>
                <w:szCs w:val="16"/>
                <w:lang w:val="en-US"/>
              </w:rPr>
              <w:t>Notarial instrument stating the power granted to your legal representative or attorney, as well as his or her powers;</w:t>
            </w:r>
          </w:p>
        </w:tc>
      </w:tr>
      <w:tr w:rsidR="009849AC" w:rsidRPr="002C0F16" w14:paraId="7DDD9958" w14:textId="7CFC7741" w:rsidTr="00F867DE">
        <w:tc>
          <w:tcPr>
            <w:tcW w:w="4711" w:type="dxa"/>
          </w:tcPr>
          <w:p w14:paraId="0E5C16A6" w14:textId="77777777" w:rsidR="009849AC" w:rsidRPr="00837D4A" w:rsidRDefault="009849AC" w:rsidP="009849AC">
            <w:pPr>
              <w:pStyle w:val="Texto"/>
              <w:spacing w:line="222" w:lineRule="exact"/>
              <w:ind w:firstLine="0"/>
              <w:rPr>
                <w:rFonts w:ascii="Verdana" w:hAnsi="Verdana"/>
                <w:sz w:val="16"/>
                <w:szCs w:val="16"/>
                <w:lang w:val="es"/>
              </w:rPr>
            </w:pPr>
            <w:r w:rsidRPr="00837D4A">
              <w:rPr>
                <w:rFonts w:ascii="Verdana" w:hAnsi="Verdana"/>
                <w:b/>
                <w:sz w:val="16"/>
                <w:szCs w:val="16"/>
                <w:lang w:val="es"/>
              </w:rPr>
              <w:t>III.</w:t>
            </w:r>
            <w:r w:rsidRPr="00837D4A">
              <w:rPr>
                <w:rFonts w:ascii="Verdana" w:hAnsi="Verdana"/>
                <w:b/>
                <w:sz w:val="16"/>
                <w:szCs w:val="16"/>
                <w:lang w:val="es"/>
              </w:rPr>
              <w:tab/>
            </w:r>
            <w:r w:rsidRPr="00837D4A">
              <w:rPr>
                <w:rFonts w:ascii="Verdana" w:hAnsi="Verdana"/>
                <w:sz w:val="16"/>
                <w:szCs w:val="16"/>
                <w:lang w:val="es"/>
              </w:rPr>
              <w:t>Constancia de Situación Fiscal que acredite la inscripción de la persona solicitante y del representante legal en el Registro Federal de Contribuyentes;</w:t>
            </w:r>
          </w:p>
        </w:tc>
        <w:tc>
          <w:tcPr>
            <w:tcW w:w="4649" w:type="dxa"/>
          </w:tcPr>
          <w:p w14:paraId="7C77F477" w14:textId="1D2D52D8"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Certificate of Tax Status that proves the registration of the applicant and the legal representative in the Federal Taxpayer Registry;</w:t>
            </w:r>
          </w:p>
        </w:tc>
      </w:tr>
      <w:tr w:rsidR="009849AC" w:rsidRPr="002C0F16" w14:paraId="6B6C71EF" w14:textId="20EA832D" w:rsidTr="00F867DE">
        <w:tc>
          <w:tcPr>
            <w:tcW w:w="4711" w:type="dxa"/>
          </w:tcPr>
          <w:p w14:paraId="3950CA44" w14:textId="77777777" w:rsidR="009849AC" w:rsidRPr="00837D4A" w:rsidRDefault="009849AC" w:rsidP="009849AC">
            <w:pPr>
              <w:pStyle w:val="Texto"/>
              <w:spacing w:line="222" w:lineRule="exact"/>
              <w:ind w:firstLine="0"/>
              <w:rPr>
                <w:rFonts w:ascii="Verdana" w:hAnsi="Verdana"/>
                <w:sz w:val="16"/>
                <w:szCs w:val="16"/>
                <w:lang w:val="es"/>
              </w:rPr>
            </w:pPr>
            <w:r w:rsidRPr="00837D4A">
              <w:rPr>
                <w:rFonts w:ascii="Verdana" w:hAnsi="Verdana"/>
                <w:b/>
                <w:sz w:val="16"/>
                <w:szCs w:val="16"/>
                <w:lang w:val="es"/>
              </w:rPr>
              <w:t>IV.</w:t>
            </w:r>
            <w:r w:rsidRPr="00837D4A">
              <w:rPr>
                <w:rFonts w:ascii="Verdana" w:hAnsi="Verdana"/>
                <w:b/>
                <w:sz w:val="16"/>
                <w:szCs w:val="16"/>
                <w:lang w:val="es"/>
              </w:rPr>
              <w:tab/>
            </w:r>
            <w:r w:rsidRPr="00837D4A">
              <w:rPr>
                <w:rFonts w:ascii="Verdana" w:hAnsi="Verdana"/>
                <w:sz w:val="16"/>
                <w:szCs w:val="16"/>
                <w:lang w:val="es"/>
              </w:rPr>
              <w:t>Opinión del cumplimiento de obligaciones fiscales en sentido positivo de la persona solicitante;</w:t>
            </w:r>
          </w:p>
        </w:tc>
        <w:tc>
          <w:tcPr>
            <w:tcW w:w="4649" w:type="dxa"/>
          </w:tcPr>
          <w:p w14:paraId="5FB71842" w14:textId="6ECFE8FB"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Opinion of the applicant's positive compliance with tax obligations;</w:t>
            </w:r>
          </w:p>
        </w:tc>
      </w:tr>
      <w:tr w:rsidR="009849AC" w:rsidRPr="002C0F16" w14:paraId="709B2D49" w14:textId="0E2A7DB0" w:rsidTr="00F867DE">
        <w:tc>
          <w:tcPr>
            <w:tcW w:w="4711" w:type="dxa"/>
          </w:tcPr>
          <w:p w14:paraId="3A5BD8DB" w14:textId="77777777" w:rsidR="009849AC" w:rsidRPr="00837D4A" w:rsidRDefault="009849AC" w:rsidP="009849AC">
            <w:pPr>
              <w:pStyle w:val="Texto"/>
              <w:spacing w:line="222" w:lineRule="exact"/>
              <w:ind w:firstLine="0"/>
              <w:rPr>
                <w:rFonts w:ascii="Verdana" w:hAnsi="Verdana"/>
                <w:sz w:val="16"/>
                <w:szCs w:val="16"/>
                <w:lang w:val="es"/>
              </w:rPr>
            </w:pPr>
            <w:r w:rsidRPr="00837D4A">
              <w:rPr>
                <w:rFonts w:ascii="Verdana" w:hAnsi="Verdana"/>
                <w:b/>
                <w:sz w:val="16"/>
                <w:szCs w:val="16"/>
                <w:lang w:val="es"/>
              </w:rPr>
              <w:t>V.</w:t>
            </w:r>
            <w:r w:rsidRPr="00837D4A">
              <w:rPr>
                <w:rFonts w:ascii="Verdana" w:hAnsi="Verdana"/>
                <w:b/>
                <w:sz w:val="16"/>
                <w:szCs w:val="16"/>
                <w:lang w:val="es"/>
              </w:rPr>
              <w:tab/>
            </w:r>
            <w:r w:rsidRPr="00837D4A">
              <w:rPr>
                <w:rFonts w:ascii="Verdana" w:hAnsi="Verdana"/>
                <w:sz w:val="16"/>
                <w:szCs w:val="16"/>
                <w:lang w:val="es"/>
              </w:rPr>
              <w:t>Acuse de recepción, o en su caso la autorización definitiva en materia de Manifestación de Impacto Social del Sector Energético, conforme a lo dispuesto en la legislación aplicable, excepto en los casos previstos en el artículo 153 de la Ley y el artículo 230 de este reglamento;</w:t>
            </w:r>
          </w:p>
        </w:tc>
        <w:tc>
          <w:tcPr>
            <w:tcW w:w="4649" w:type="dxa"/>
          </w:tcPr>
          <w:p w14:paraId="0F247706" w14:textId="3929CE15"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Acknowledgment of receipt, or where applicable, the final authorization regarding the Social Impact Statement of the Energy Sector, in accordance with the provisions of the applicable legislation, except in the cases provided for in article 153 of the Law and article 230 of this regulation;</w:t>
            </w:r>
          </w:p>
        </w:tc>
      </w:tr>
      <w:tr w:rsidR="009849AC" w:rsidRPr="002C0F16" w14:paraId="0C2E3FAE" w14:textId="04F6C97F" w:rsidTr="00F867DE">
        <w:tc>
          <w:tcPr>
            <w:tcW w:w="4711" w:type="dxa"/>
          </w:tcPr>
          <w:p w14:paraId="0C2540A9" w14:textId="77777777" w:rsidR="009849AC" w:rsidRPr="00837D4A" w:rsidRDefault="009849AC" w:rsidP="009849AC">
            <w:pPr>
              <w:pStyle w:val="Texto"/>
              <w:spacing w:line="222" w:lineRule="exact"/>
              <w:ind w:firstLine="0"/>
              <w:rPr>
                <w:rFonts w:ascii="Verdana" w:hAnsi="Verdana"/>
                <w:sz w:val="16"/>
                <w:szCs w:val="16"/>
                <w:lang w:val="es"/>
              </w:rPr>
            </w:pPr>
            <w:r w:rsidRPr="00837D4A">
              <w:rPr>
                <w:rFonts w:ascii="Verdana" w:hAnsi="Verdana"/>
                <w:b/>
                <w:sz w:val="16"/>
                <w:szCs w:val="16"/>
                <w:lang w:val="es"/>
              </w:rPr>
              <w:t>VI.</w:t>
            </w:r>
            <w:r w:rsidRPr="00837D4A">
              <w:rPr>
                <w:rFonts w:ascii="Verdana" w:hAnsi="Verdana"/>
                <w:b/>
                <w:sz w:val="16"/>
                <w:szCs w:val="16"/>
                <w:lang w:val="es"/>
              </w:rPr>
              <w:tab/>
            </w:r>
            <w:r w:rsidRPr="00837D4A">
              <w:rPr>
                <w:rFonts w:ascii="Verdana" w:hAnsi="Verdana"/>
                <w:sz w:val="16"/>
                <w:szCs w:val="16"/>
                <w:lang w:val="es"/>
              </w:rPr>
              <w:t>Acuse de recepción, o en su caso la autorización emitida por la Agencia del informe preventivo o de la Manifestación de Impacto Ambiental, así como cualquier documento que lo modifique o sustituya;</w:t>
            </w:r>
          </w:p>
        </w:tc>
        <w:tc>
          <w:tcPr>
            <w:tcW w:w="4649" w:type="dxa"/>
          </w:tcPr>
          <w:p w14:paraId="0A9CB5FA" w14:textId="13D3E0DC"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Acknowledgment of receipt, or where applicable, the authorization issued by the Agency of the preventive report or the Environmental Impact Statement, as well as any document that modifies or replaces it;</w:t>
            </w:r>
          </w:p>
        </w:tc>
      </w:tr>
      <w:tr w:rsidR="009849AC" w:rsidRPr="002C0F16" w14:paraId="71761F75" w14:textId="38FDEB12" w:rsidTr="00F867DE">
        <w:tc>
          <w:tcPr>
            <w:tcW w:w="4711" w:type="dxa"/>
          </w:tcPr>
          <w:p w14:paraId="654DB719" w14:textId="77777777" w:rsidR="009849AC" w:rsidRPr="00837D4A" w:rsidRDefault="009849AC" w:rsidP="009849AC">
            <w:pPr>
              <w:pStyle w:val="Texto"/>
              <w:spacing w:line="222" w:lineRule="exact"/>
              <w:ind w:firstLine="0"/>
              <w:rPr>
                <w:rFonts w:ascii="Verdana" w:hAnsi="Verdana"/>
                <w:sz w:val="16"/>
                <w:szCs w:val="16"/>
                <w:lang w:val="es"/>
              </w:rPr>
            </w:pPr>
            <w:r w:rsidRPr="00837D4A">
              <w:rPr>
                <w:rFonts w:ascii="Verdana" w:hAnsi="Verdana"/>
                <w:b/>
                <w:sz w:val="16"/>
                <w:szCs w:val="16"/>
                <w:lang w:val="es"/>
              </w:rPr>
              <w:t>VII.</w:t>
            </w:r>
            <w:r w:rsidRPr="00837D4A">
              <w:rPr>
                <w:rFonts w:ascii="Verdana" w:hAnsi="Verdana"/>
                <w:b/>
                <w:sz w:val="16"/>
                <w:szCs w:val="16"/>
                <w:lang w:val="es"/>
              </w:rPr>
              <w:tab/>
            </w:r>
            <w:r w:rsidRPr="00837D4A">
              <w:rPr>
                <w:rFonts w:ascii="Verdana" w:hAnsi="Verdana"/>
                <w:sz w:val="16"/>
                <w:szCs w:val="16"/>
                <w:lang w:val="es"/>
              </w:rPr>
              <w:t>Acreditar la propiedad, posesión legítima, uso o goce del predio, infraestructura o Sistema correspondiente, que se debe mantener durante la vigencia del permiso, autorización o cualquier otro acto otorgado por la Secretaría o la Comisión;</w:t>
            </w:r>
          </w:p>
        </w:tc>
        <w:tc>
          <w:tcPr>
            <w:tcW w:w="4649" w:type="dxa"/>
          </w:tcPr>
          <w:p w14:paraId="002FF4AC" w14:textId="401623A0"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Verify ownership, legitimate possession, use or enjoyment of the property, infrastructure or corresponding System, which must be maintained during the validity of the permit, authorization or any other act granted by the Secretary or the Commission;</w:t>
            </w:r>
          </w:p>
        </w:tc>
      </w:tr>
      <w:tr w:rsidR="009849AC" w:rsidRPr="002C0F16" w14:paraId="67AF2055" w14:textId="4ACA29E0" w:rsidTr="00F867DE">
        <w:tc>
          <w:tcPr>
            <w:tcW w:w="4711" w:type="dxa"/>
          </w:tcPr>
          <w:p w14:paraId="5BA1C27D" w14:textId="77777777" w:rsidR="009849AC" w:rsidRPr="00837D4A" w:rsidRDefault="009849AC" w:rsidP="009849AC">
            <w:pPr>
              <w:pStyle w:val="Texto"/>
              <w:spacing w:line="222" w:lineRule="exact"/>
              <w:ind w:firstLine="0"/>
              <w:rPr>
                <w:rFonts w:ascii="Verdana" w:hAnsi="Verdana"/>
                <w:sz w:val="16"/>
                <w:szCs w:val="16"/>
                <w:lang w:val="es"/>
              </w:rPr>
            </w:pPr>
            <w:r w:rsidRPr="00837D4A">
              <w:rPr>
                <w:rFonts w:ascii="Verdana" w:hAnsi="Verdana"/>
                <w:b/>
                <w:sz w:val="16"/>
                <w:szCs w:val="16"/>
                <w:lang w:val="es"/>
              </w:rPr>
              <w:t>VIII.</w:t>
            </w:r>
            <w:r w:rsidRPr="00837D4A">
              <w:rPr>
                <w:rFonts w:ascii="Verdana" w:hAnsi="Verdana"/>
                <w:b/>
                <w:sz w:val="16"/>
                <w:szCs w:val="16"/>
                <w:lang w:val="es"/>
              </w:rPr>
              <w:tab/>
            </w:r>
            <w:r w:rsidRPr="00837D4A">
              <w:rPr>
                <w:rFonts w:ascii="Verdana" w:hAnsi="Verdana"/>
                <w:sz w:val="16"/>
                <w:szCs w:val="16"/>
                <w:lang w:val="es"/>
              </w:rPr>
              <w:t>Acreditación del pago de derechos o aprovechamientos correspondientes, y</w:t>
            </w:r>
          </w:p>
        </w:tc>
        <w:tc>
          <w:tcPr>
            <w:tcW w:w="4649" w:type="dxa"/>
          </w:tcPr>
          <w:p w14:paraId="48B5437A" w14:textId="62179F79"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Proof of payment of corresponding rights or benefits, and</w:t>
            </w:r>
          </w:p>
        </w:tc>
      </w:tr>
      <w:tr w:rsidR="009849AC" w:rsidRPr="002C0F16" w14:paraId="54001532" w14:textId="6CEA8406" w:rsidTr="00F867DE">
        <w:tc>
          <w:tcPr>
            <w:tcW w:w="4711" w:type="dxa"/>
          </w:tcPr>
          <w:p w14:paraId="44783E70" w14:textId="77777777" w:rsidR="009849AC" w:rsidRPr="00837D4A" w:rsidRDefault="009849AC" w:rsidP="009849AC">
            <w:pPr>
              <w:pStyle w:val="Texto"/>
              <w:spacing w:line="222" w:lineRule="exact"/>
              <w:ind w:firstLine="0"/>
              <w:rPr>
                <w:rFonts w:ascii="Verdana" w:hAnsi="Verdana"/>
                <w:sz w:val="16"/>
                <w:szCs w:val="16"/>
                <w:lang w:val="es"/>
              </w:rPr>
            </w:pPr>
            <w:r w:rsidRPr="00837D4A">
              <w:rPr>
                <w:rFonts w:ascii="Verdana" w:hAnsi="Verdana"/>
                <w:b/>
                <w:sz w:val="16"/>
                <w:szCs w:val="16"/>
                <w:lang w:val="es"/>
              </w:rPr>
              <w:t>IX.</w:t>
            </w:r>
            <w:r w:rsidRPr="00837D4A">
              <w:rPr>
                <w:rFonts w:ascii="Verdana" w:hAnsi="Verdana"/>
                <w:b/>
                <w:sz w:val="16"/>
                <w:szCs w:val="16"/>
                <w:lang w:val="es"/>
              </w:rPr>
              <w:tab/>
            </w:r>
            <w:r w:rsidRPr="00837D4A">
              <w:rPr>
                <w:rFonts w:ascii="Verdana" w:hAnsi="Verdana"/>
                <w:sz w:val="16"/>
                <w:szCs w:val="16"/>
                <w:lang w:val="es"/>
              </w:rPr>
              <w:t>La demás información y documentación que la Secretaría o la Comisión determinen en la Normatividad que para tal efecto emitan.</w:t>
            </w:r>
          </w:p>
        </w:tc>
        <w:tc>
          <w:tcPr>
            <w:tcW w:w="4649" w:type="dxa"/>
          </w:tcPr>
          <w:p w14:paraId="7BD7B8D0" w14:textId="786F04F3"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Other information and documentation that the Secretary or the Commission determine in the Regulation they issue for such purpose.</w:t>
            </w:r>
          </w:p>
        </w:tc>
      </w:tr>
      <w:tr w:rsidR="009849AC" w:rsidRPr="002C0F16" w14:paraId="24A25215" w14:textId="1DD9ED4A" w:rsidTr="00F867DE">
        <w:tc>
          <w:tcPr>
            <w:tcW w:w="4711" w:type="dxa"/>
          </w:tcPr>
          <w:p w14:paraId="2239F615"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lang w:val="es"/>
              </w:rPr>
              <w:t xml:space="preserve">La acreditación de la propiedad, posesión legítima, uso o goce del predio a que se refiere </w:t>
            </w:r>
            <w:r w:rsidRPr="00837D4A">
              <w:rPr>
                <w:rFonts w:ascii="Verdana" w:hAnsi="Verdana"/>
                <w:sz w:val="16"/>
                <w:szCs w:val="16"/>
              </w:rPr>
              <w:t>la fracción VII del presente artículo no es aplicable al caso de Transporte por medio de Ductos toda vez que, dicha actividad está sujeta a lo contemplado en el Capítulo III del Título Cuarto de este reglamento.</w:t>
            </w:r>
          </w:p>
        </w:tc>
        <w:tc>
          <w:tcPr>
            <w:tcW w:w="4649" w:type="dxa"/>
          </w:tcPr>
          <w:p w14:paraId="4C70EEBF" w14:textId="0F4C0A0E"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The accreditation of ownership, legitimate possession, use or enjoyment of the property referred to in Section VII of this article is not applicable to the case of Transportation by Pipeline since said activity is subject to the provisions of Chapter III of the Fourth Title of this regulation.</w:t>
            </w:r>
          </w:p>
        </w:tc>
      </w:tr>
      <w:tr w:rsidR="009849AC" w:rsidRPr="002C0F16" w14:paraId="130AA8B7" w14:textId="2383FE70" w:rsidTr="00F867DE">
        <w:tc>
          <w:tcPr>
            <w:tcW w:w="4711" w:type="dxa"/>
          </w:tcPr>
          <w:p w14:paraId="0233A9ED"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Las empresas públicas del Estado y Particulares solicitantes de un permiso deben tener como actividad económica y objeto social, según corresponda, la realización de la actividad permisionada, con excepción de la actividad de Despacho para Autoconsumo.</w:t>
            </w:r>
          </w:p>
        </w:tc>
        <w:tc>
          <w:tcPr>
            <w:tcW w:w="4649" w:type="dxa"/>
          </w:tcPr>
          <w:p w14:paraId="19C4DB7E" w14:textId="569E2B4F"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State-owned companies and private individuals applying for a permit must have as their economic activity and corporate purpose, as applicable, the performance of the permitted activity, with the exception of the activity of Dispatch for Self-Consumption (service stations).</w:t>
            </w:r>
          </w:p>
        </w:tc>
      </w:tr>
      <w:tr w:rsidR="009849AC" w:rsidRPr="00D0180E" w14:paraId="17FE1C96" w14:textId="30252B38" w:rsidTr="00F867DE">
        <w:tc>
          <w:tcPr>
            <w:tcW w:w="4711" w:type="dxa"/>
          </w:tcPr>
          <w:p w14:paraId="1AF73021" w14:textId="77777777" w:rsidR="009849AC" w:rsidRPr="00837D4A" w:rsidRDefault="009849AC" w:rsidP="009849AC">
            <w:pPr>
              <w:pStyle w:val="Texto"/>
              <w:spacing w:line="222" w:lineRule="exact"/>
              <w:ind w:firstLine="0"/>
              <w:jc w:val="center"/>
              <w:rPr>
                <w:rFonts w:ascii="Verdana" w:hAnsi="Verdana"/>
                <w:b/>
                <w:sz w:val="16"/>
                <w:szCs w:val="16"/>
              </w:rPr>
            </w:pPr>
            <w:r w:rsidRPr="00837D4A">
              <w:rPr>
                <w:rFonts w:ascii="Verdana" w:hAnsi="Verdana"/>
                <w:b/>
                <w:sz w:val="16"/>
                <w:szCs w:val="16"/>
              </w:rPr>
              <w:t>Sección Primera</w:t>
            </w:r>
          </w:p>
        </w:tc>
        <w:tc>
          <w:tcPr>
            <w:tcW w:w="4649" w:type="dxa"/>
          </w:tcPr>
          <w:p w14:paraId="1CF7D0E6" w14:textId="549E7871" w:rsidR="009849AC" w:rsidRPr="00837D4A" w:rsidRDefault="009849AC" w:rsidP="009849AC">
            <w:pPr>
              <w:pStyle w:val="Texto"/>
              <w:spacing w:line="222" w:lineRule="exact"/>
              <w:ind w:firstLine="0"/>
              <w:jc w:val="center"/>
              <w:rPr>
                <w:rFonts w:ascii="Verdana" w:hAnsi="Verdana"/>
                <w:b/>
                <w:sz w:val="16"/>
                <w:szCs w:val="16"/>
                <w:lang w:val="en-US"/>
              </w:rPr>
            </w:pPr>
            <w:r w:rsidRPr="00837D4A">
              <w:rPr>
                <w:rFonts w:ascii="Verdana" w:hAnsi="Verdana"/>
                <w:b/>
                <w:sz w:val="16"/>
                <w:szCs w:val="16"/>
                <w:lang w:val="en-US"/>
              </w:rPr>
              <w:t>First Section</w:t>
            </w:r>
          </w:p>
        </w:tc>
      </w:tr>
      <w:tr w:rsidR="009849AC" w:rsidRPr="00D0180E" w14:paraId="05168DED" w14:textId="6A15BAF4" w:rsidTr="00F867DE">
        <w:tc>
          <w:tcPr>
            <w:tcW w:w="4711" w:type="dxa"/>
          </w:tcPr>
          <w:p w14:paraId="0A9B5B9F" w14:textId="77777777" w:rsidR="009849AC" w:rsidRPr="00837D4A" w:rsidRDefault="009849AC" w:rsidP="009849AC">
            <w:pPr>
              <w:pStyle w:val="Texto"/>
              <w:spacing w:line="222" w:lineRule="exact"/>
              <w:ind w:firstLine="0"/>
              <w:jc w:val="center"/>
              <w:rPr>
                <w:rFonts w:ascii="Verdana" w:hAnsi="Verdana"/>
                <w:b/>
                <w:sz w:val="16"/>
                <w:szCs w:val="16"/>
              </w:rPr>
            </w:pPr>
            <w:r w:rsidRPr="00837D4A">
              <w:rPr>
                <w:rFonts w:ascii="Verdana" w:hAnsi="Verdana"/>
                <w:b/>
                <w:sz w:val="16"/>
                <w:szCs w:val="16"/>
              </w:rPr>
              <w:t>De las Operaciones en las Actividades Permisionadas</w:t>
            </w:r>
          </w:p>
        </w:tc>
        <w:tc>
          <w:tcPr>
            <w:tcW w:w="4649" w:type="dxa"/>
          </w:tcPr>
          <w:p w14:paraId="5EB213B5" w14:textId="5E7F648F" w:rsidR="009849AC" w:rsidRPr="00837D4A" w:rsidRDefault="009849AC" w:rsidP="009849AC">
            <w:pPr>
              <w:pStyle w:val="Texto"/>
              <w:spacing w:line="222" w:lineRule="exact"/>
              <w:ind w:firstLine="0"/>
              <w:jc w:val="center"/>
              <w:rPr>
                <w:rFonts w:ascii="Verdana" w:hAnsi="Verdana"/>
                <w:b/>
                <w:sz w:val="16"/>
                <w:szCs w:val="16"/>
                <w:lang w:val="en-US"/>
              </w:rPr>
            </w:pPr>
            <w:r w:rsidRPr="00837D4A">
              <w:rPr>
                <w:rFonts w:ascii="Verdana" w:hAnsi="Verdana"/>
                <w:b/>
                <w:sz w:val="16"/>
                <w:szCs w:val="16"/>
                <w:lang w:val="en-US"/>
              </w:rPr>
              <w:t>Operations in Permitted Activities</w:t>
            </w:r>
          </w:p>
        </w:tc>
      </w:tr>
      <w:tr w:rsidR="009849AC" w:rsidRPr="002C0F16" w14:paraId="7976A1E7" w14:textId="70AAE443" w:rsidTr="00F867DE">
        <w:tc>
          <w:tcPr>
            <w:tcW w:w="4711" w:type="dxa"/>
          </w:tcPr>
          <w:p w14:paraId="4D4F6230"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97.</w:t>
            </w:r>
            <w:r w:rsidRPr="00837D4A">
              <w:rPr>
                <w:rFonts w:ascii="Verdana" w:hAnsi="Verdana"/>
                <w:sz w:val="16"/>
                <w:szCs w:val="16"/>
              </w:rPr>
              <w:t xml:space="preserve"> El Transvase solo puede llevarse a cabo desde Buque-tanque, Semirremolque, Carro-tanque o </w:t>
            </w:r>
            <w:proofErr w:type="spellStart"/>
            <w:r w:rsidRPr="00837D4A">
              <w:rPr>
                <w:rFonts w:ascii="Verdana" w:hAnsi="Verdana"/>
                <w:sz w:val="16"/>
                <w:szCs w:val="16"/>
              </w:rPr>
              <w:t>Auto-tanque</w:t>
            </w:r>
            <w:proofErr w:type="spellEnd"/>
            <w:r w:rsidRPr="00837D4A">
              <w:rPr>
                <w:rFonts w:ascii="Verdana" w:hAnsi="Verdana"/>
                <w:sz w:val="16"/>
                <w:szCs w:val="16"/>
              </w:rPr>
              <w:t xml:space="preserve"> hacia las instalaciones fijas de los Sistemas de Almacenamiento, Distribución, Formulación, </w:t>
            </w:r>
            <w:r w:rsidRPr="00837D4A">
              <w:rPr>
                <w:rFonts w:ascii="Verdana" w:hAnsi="Verdana"/>
                <w:sz w:val="16"/>
                <w:szCs w:val="16"/>
              </w:rPr>
              <w:lastRenderedPageBreak/>
              <w:t>Refinación de Petróleo y Licuefacción de Gas Natural y viceversa, así como para la entrega de Petrolíferos a instalaciones permisionadas para el Despacho para Autoconsumo que cuenten con permiso vigente.</w:t>
            </w:r>
          </w:p>
        </w:tc>
        <w:tc>
          <w:tcPr>
            <w:tcW w:w="4649" w:type="dxa"/>
          </w:tcPr>
          <w:p w14:paraId="6703D28D" w14:textId="5841B629"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97. </w:t>
            </w:r>
            <w:r w:rsidRPr="00837D4A">
              <w:rPr>
                <w:rFonts w:ascii="Verdana" w:hAnsi="Verdana"/>
                <w:sz w:val="16"/>
                <w:szCs w:val="16"/>
                <w:lang w:val="en-US"/>
              </w:rPr>
              <w:t xml:space="preserve">Transfer may only be carried out from a tanker, semi-trailer, tank car or tank truck to the fixed facilities of the Storage, Distribution, Formulation, Refining of Petroleum and Liquefaction of Natural Gas </w:t>
            </w:r>
            <w:r w:rsidRPr="00837D4A">
              <w:rPr>
                <w:rFonts w:ascii="Verdana" w:hAnsi="Verdana"/>
                <w:sz w:val="16"/>
                <w:szCs w:val="16"/>
                <w:lang w:val="en-US"/>
              </w:rPr>
              <w:lastRenderedPageBreak/>
              <w:t>Systems and vice versa, as well as for the delivery of Petroleum Products to facilities permitted for Dispatch for Self-Consumption that have a valid permit.</w:t>
            </w:r>
          </w:p>
        </w:tc>
      </w:tr>
      <w:tr w:rsidR="009849AC" w:rsidRPr="002C0F16" w14:paraId="1C9A1F9E" w14:textId="18B160F0" w:rsidTr="00F867DE">
        <w:tc>
          <w:tcPr>
            <w:tcW w:w="4711" w:type="dxa"/>
          </w:tcPr>
          <w:p w14:paraId="572E0C49"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lastRenderedPageBreak/>
              <w:t>Artículo 98.</w:t>
            </w:r>
            <w:r w:rsidRPr="00837D4A">
              <w:rPr>
                <w:rFonts w:ascii="Verdana" w:hAnsi="Verdana"/>
                <w:sz w:val="16"/>
                <w:szCs w:val="16"/>
              </w:rPr>
              <w:t xml:space="preserve"> Queda prohibido el Transvase directo entre medios de Transporte o de Distribución por medios distintos a Ductos.</w:t>
            </w:r>
          </w:p>
        </w:tc>
        <w:tc>
          <w:tcPr>
            <w:tcW w:w="4649" w:type="dxa"/>
          </w:tcPr>
          <w:p w14:paraId="67E0985F" w14:textId="43516543"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98. </w:t>
            </w:r>
            <w:r w:rsidRPr="00837D4A">
              <w:rPr>
                <w:rFonts w:ascii="Verdana" w:hAnsi="Verdana"/>
                <w:sz w:val="16"/>
                <w:szCs w:val="16"/>
                <w:lang w:val="en-US"/>
              </w:rPr>
              <w:t>Direct transfer between means of transportation or distribution by means other than pipelines is prohibited.</w:t>
            </w:r>
          </w:p>
        </w:tc>
      </w:tr>
      <w:tr w:rsidR="009849AC" w:rsidRPr="002C0F16" w14:paraId="3F115CF3" w14:textId="2E4275C4" w:rsidTr="00F867DE">
        <w:tc>
          <w:tcPr>
            <w:tcW w:w="4711" w:type="dxa"/>
          </w:tcPr>
          <w:p w14:paraId="5FBBB4BB"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99.</w:t>
            </w:r>
            <w:r w:rsidRPr="00837D4A">
              <w:rPr>
                <w:rFonts w:ascii="Verdana" w:hAnsi="Verdana"/>
                <w:sz w:val="16"/>
                <w:szCs w:val="16"/>
              </w:rPr>
              <w:t xml:space="preserve"> La Secretaría o la Comisión, en el ámbito de su competencia, pueden autorizar provisionalmente el Transvase de Hidrocarburos, Petrolíferos o Petroquímicos, de un medio de Transporte o Distribución a otro, únicamente en caso fortuito o fuerza mayor debidamente acreditado. Esta autorización debe ser para una ubicación, volumen y periodo determinados y debe atender las características de cada caso fortuito o fuerza mayor.</w:t>
            </w:r>
          </w:p>
        </w:tc>
        <w:tc>
          <w:tcPr>
            <w:tcW w:w="4649" w:type="dxa"/>
          </w:tcPr>
          <w:p w14:paraId="46ACA057" w14:textId="4EEAB4AD"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99. </w:t>
            </w:r>
            <w:r w:rsidRPr="00837D4A">
              <w:rPr>
                <w:rFonts w:ascii="Verdana" w:hAnsi="Verdana"/>
                <w:sz w:val="16"/>
                <w:szCs w:val="16"/>
                <w:lang w:val="en-US"/>
              </w:rPr>
              <w:t>The Secretary or the Commission, within its jurisdiction, may provisionally authorize the transfer of hydrocarbons, petroleum products, or petrochemicals from one means of transportation or distribution to another, only in the event of a duly accredited fortuitous event or force majeure. This authorization must be for a specific location, volume, and period, and must take into account the characteristics of each fortuitous event or force majeure.</w:t>
            </w:r>
          </w:p>
        </w:tc>
      </w:tr>
      <w:tr w:rsidR="009849AC" w:rsidRPr="002C0F16" w14:paraId="4490EC99" w14:textId="67901606" w:rsidTr="00F867DE">
        <w:tc>
          <w:tcPr>
            <w:tcW w:w="4711" w:type="dxa"/>
          </w:tcPr>
          <w:p w14:paraId="1827A927"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Para efectos de una autorización provisional del Transvase de Hidrocarburos, Petrolíferos o Petroquímicos se entiende por caso fortuito o fuerza mayor, aquel evento o circunstancia derivada de una actividad humana o fenómeno natural insuperable, imprevisible o inevitable, que al ocurrir ponga en peligro la seguridad nacional, la seguridad energética, la seguridad en el suministro o la economía nacional.</w:t>
            </w:r>
          </w:p>
        </w:tc>
        <w:tc>
          <w:tcPr>
            <w:tcW w:w="4649" w:type="dxa"/>
          </w:tcPr>
          <w:p w14:paraId="1DA9DE04" w14:textId="39975DFF"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For the purposes of a provisional authorization for the Transfer of Hydrocarbons, Petroleum Products or Petrochemicals, a fortuitous event or force majeure is understood to be an event or circumstance derived from a human activity or natural phenomenon that is insurmountable, unforeseeable or unavoidable, which, when occurring, endangers national security, energy security, security of supply or the national economy.</w:t>
            </w:r>
          </w:p>
        </w:tc>
      </w:tr>
      <w:tr w:rsidR="009849AC" w:rsidRPr="002C0F16" w14:paraId="2E8BF955" w14:textId="18B70045" w:rsidTr="00F867DE">
        <w:tc>
          <w:tcPr>
            <w:tcW w:w="4711" w:type="dxa"/>
          </w:tcPr>
          <w:p w14:paraId="06D1829A"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La persona Permisionaria que requiera una autorización provisional para realizar el Transvase debe presentar una solicitud a la Secretaría o la Comisión, según corresponda, dentro del plazo máximo de cuarenta y ocho horas posteriores a que ocurra una afectación con motivo de un caso fortuito o fuerza mayor, con la información siguiente:</w:t>
            </w:r>
          </w:p>
        </w:tc>
        <w:tc>
          <w:tcPr>
            <w:tcW w:w="4649" w:type="dxa"/>
          </w:tcPr>
          <w:p w14:paraId="3F920F1D" w14:textId="4114A765"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The Permit Holder who requires a provisional authorization to carry out the Transfer must submit an application to the Secretary or the Commission, as appropriate, within a maximum period of forty-eight hours after an impact occurs due to a fortuitous event or force majeure, with the following information:</w:t>
            </w:r>
          </w:p>
        </w:tc>
      </w:tr>
      <w:tr w:rsidR="009849AC" w:rsidRPr="002C0F16" w14:paraId="64ADBA7A" w14:textId="615AA047" w:rsidTr="00F867DE">
        <w:tc>
          <w:tcPr>
            <w:tcW w:w="4711" w:type="dxa"/>
          </w:tcPr>
          <w:p w14:paraId="4AE8EBE0"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Formato autorizado debidamente requisitado, con la siguiente información:</w:t>
            </w:r>
          </w:p>
        </w:tc>
        <w:tc>
          <w:tcPr>
            <w:tcW w:w="4649" w:type="dxa"/>
          </w:tcPr>
          <w:p w14:paraId="6CC3AE57" w14:textId="68AFEFF8"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Duly completed authorized form, with the following information:</w:t>
            </w:r>
          </w:p>
        </w:tc>
      </w:tr>
      <w:tr w:rsidR="009849AC" w:rsidRPr="002C0F16" w14:paraId="2CD91005" w14:textId="2A0424AF" w:rsidTr="00F867DE">
        <w:tc>
          <w:tcPr>
            <w:tcW w:w="4711" w:type="dxa"/>
          </w:tcPr>
          <w:p w14:paraId="77D7CCCF"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Descripción del caso fortuito o fuerza mayor en la cual debe precisar si fue de origen antropogénico o natural;</w:t>
            </w:r>
          </w:p>
        </w:tc>
        <w:tc>
          <w:tcPr>
            <w:tcW w:w="4649" w:type="dxa"/>
          </w:tcPr>
          <w:p w14:paraId="7C0028C2" w14:textId="4095E59E"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Description of the fortuitous event or force majeure, specifying whether it was of anthropogenic or natural origin;</w:t>
            </w:r>
          </w:p>
        </w:tc>
      </w:tr>
      <w:tr w:rsidR="009849AC" w:rsidRPr="002C0F16" w14:paraId="5904BAFB" w14:textId="2D289CDA" w:rsidTr="00F867DE">
        <w:tc>
          <w:tcPr>
            <w:tcW w:w="4711" w:type="dxa"/>
          </w:tcPr>
          <w:p w14:paraId="1E485C2C"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Descripción de los hechos que afectan la seguridad nacional, la seguridad energética, la seguridad en el suministro o la economía nacional;</w:t>
            </w:r>
          </w:p>
        </w:tc>
        <w:tc>
          <w:tcPr>
            <w:tcW w:w="4649" w:type="dxa"/>
          </w:tcPr>
          <w:p w14:paraId="0A163323" w14:textId="5196C726"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Description of the facts that affect national security, energy security, security of supply or the national economy;</w:t>
            </w:r>
          </w:p>
        </w:tc>
      </w:tr>
      <w:tr w:rsidR="009849AC" w:rsidRPr="002C0F16" w14:paraId="23F22763" w14:textId="10B47453" w:rsidTr="00F867DE">
        <w:tc>
          <w:tcPr>
            <w:tcW w:w="4711" w:type="dxa"/>
          </w:tcPr>
          <w:p w14:paraId="25861576"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Lista</w:t>
            </w:r>
            <w:r w:rsidRPr="00837D4A">
              <w:rPr>
                <w:rFonts w:ascii="Verdana" w:hAnsi="Verdana"/>
                <w:b/>
                <w:sz w:val="16"/>
                <w:szCs w:val="16"/>
              </w:rPr>
              <w:t xml:space="preserve"> </w:t>
            </w:r>
            <w:r w:rsidRPr="00837D4A">
              <w:rPr>
                <w:rFonts w:ascii="Verdana" w:hAnsi="Verdana"/>
                <w:sz w:val="16"/>
                <w:szCs w:val="16"/>
              </w:rPr>
              <w:t>de infraestructura impactada que incluya productos, volumen, ubicación y permisos asociados;</w:t>
            </w:r>
          </w:p>
        </w:tc>
        <w:tc>
          <w:tcPr>
            <w:tcW w:w="4649" w:type="dxa"/>
          </w:tcPr>
          <w:p w14:paraId="75DF46E0" w14:textId="2062D419"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List</w:t>
            </w:r>
            <w:r w:rsidRPr="00837D4A">
              <w:rPr>
                <w:rFonts w:ascii="Verdana" w:hAnsi="Verdana"/>
                <w:b/>
                <w:sz w:val="16"/>
                <w:szCs w:val="16"/>
                <w:lang w:val="en-US"/>
              </w:rPr>
              <w:t xml:space="preserve"> </w:t>
            </w:r>
            <w:r w:rsidRPr="00837D4A">
              <w:rPr>
                <w:rFonts w:ascii="Verdana" w:hAnsi="Verdana"/>
                <w:sz w:val="16"/>
                <w:szCs w:val="16"/>
                <w:lang w:val="en-US"/>
              </w:rPr>
              <w:t>of impacted infrastructure including products, volume, location and associated permits;</w:t>
            </w:r>
          </w:p>
        </w:tc>
      </w:tr>
      <w:tr w:rsidR="009849AC" w:rsidRPr="002C0F16" w14:paraId="24461A61" w14:textId="11AEFE75" w:rsidTr="00F867DE">
        <w:tc>
          <w:tcPr>
            <w:tcW w:w="4711" w:type="dxa"/>
          </w:tcPr>
          <w:p w14:paraId="1BDDBA70"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El</w:t>
            </w:r>
            <w:r w:rsidRPr="00837D4A">
              <w:rPr>
                <w:rFonts w:ascii="Verdana" w:hAnsi="Verdana"/>
                <w:b/>
                <w:sz w:val="16"/>
                <w:szCs w:val="16"/>
              </w:rPr>
              <w:t xml:space="preserve"> </w:t>
            </w:r>
            <w:r w:rsidRPr="00837D4A">
              <w:rPr>
                <w:rFonts w:ascii="Verdana" w:hAnsi="Verdana"/>
                <w:sz w:val="16"/>
                <w:szCs w:val="16"/>
              </w:rPr>
              <w:t>lugar y los medios de Transporte donde se lleva a cabo el Transvase provisional y los permisos asociados;</w:t>
            </w:r>
          </w:p>
        </w:tc>
        <w:tc>
          <w:tcPr>
            <w:tcW w:w="4649" w:type="dxa"/>
          </w:tcPr>
          <w:p w14:paraId="01648462" w14:textId="61ED1DB0"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Pr="00837D4A">
              <w:rPr>
                <w:rFonts w:ascii="Verdana" w:hAnsi="Verdana"/>
                <w:sz w:val="16"/>
                <w:szCs w:val="16"/>
                <w:lang w:val="en-US"/>
              </w:rPr>
              <w:t>place and means of transport where the provisional transfer is carried out and the associated permits;</w:t>
            </w:r>
          </w:p>
        </w:tc>
      </w:tr>
      <w:tr w:rsidR="009849AC" w:rsidRPr="002C0F16" w14:paraId="23761A08" w14:textId="083747B9" w:rsidTr="00F867DE">
        <w:tc>
          <w:tcPr>
            <w:tcW w:w="4711" w:type="dxa"/>
          </w:tcPr>
          <w:p w14:paraId="306EBDDA"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El</w:t>
            </w:r>
            <w:r w:rsidRPr="00837D4A">
              <w:rPr>
                <w:rFonts w:ascii="Verdana" w:hAnsi="Verdana"/>
                <w:b/>
                <w:sz w:val="16"/>
                <w:szCs w:val="16"/>
              </w:rPr>
              <w:t xml:space="preserve"> </w:t>
            </w:r>
            <w:r w:rsidRPr="00837D4A">
              <w:rPr>
                <w:rFonts w:ascii="Verdana" w:hAnsi="Verdana"/>
                <w:sz w:val="16"/>
                <w:szCs w:val="16"/>
              </w:rPr>
              <w:t>volumen de los Hidrocarburos, Petrolíferos o Petroquímicos y el periodo estimado objeto de la autorización, y</w:t>
            </w:r>
          </w:p>
        </w:tc>
        <w:tc>
          <w:tcPr>
            <w:tcW w:w="4649" w:type="dxa"/>
          </w:tcPr>
          <w:p w14:paraId="4BC72673" w14:textId="2BEE1EE2"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Pr="00837D4A">
              <w:rPr>
                <w:rFonts w:ascii="Verdana" w:hAnsi="Verdana"/>
                <w:sz w:val="16"/>
                <w:szCs w:val="16"/>
                <w:lang w:val="en-US"/>
              </w:rPr>
              <w:t>volume of hydrocarbons, petroleum products or petrochemicals and the estimated period subject to the authorization, and</w:t>
            </w:r>
          </w:p>
        </w:tc>
      </w:tr>
      <w:tr w:rsidR="009849AC" w:rsidRPr="002C0F16" w14:paraId="6FE1E621" w14:textId="321AEF7E" w:rsidTr="00F867DE">
        <w:tc>
          <w:tcPr>
            <w:tcW w:w="4711" w:type="dxa"/>
          </w:tcPr>
          <w:p w14:paraId="04D1637A"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En</w:t>
            </w:r>
            <w:r w:rsidRPr="00837D4A">
              <w:rPr>
                <w:rFonts w:ascii="Verdana" w:hAnsi="Verdana"/>
                <w:b/>
                <w:sz w:val="16"/>
                <w:szCs w:val="16"/>
              </w:rPr>
              <w:t xml:space="preserve"> </w:t>
            </w:r>
            <w:r w:rsidRPr="00837D4A">
              <w:rPr>
                <w:rFonts w:ascii="Verdana" w:hAnsi="Verdana"/>
                <w:sz w:val="16"/>
                <w:szCs w:val="16"/>
              </w:rPr>
              <w:t>su caso, las acciones encaminadas a restablecer las condiciones normales de operación;</w:t>
            </w:r>
          </w:p>
        </w:tc>
        <w:tc>
          <w:tcPr>
            <w:tcW w:w="4649" w:type="dxa"/>
          </w:tcPr>
          <w:p w14:paraId="4E629189" w14:textId="03E169E2"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Where appropriate, the actions aimed at restoring normal operating conditions;</w:t>
            </w:r>
          </w:p>
        </w:tc>
      </w:tr>
      <w:tr w:rsidR="009849AC" w:rsidRPr="002C0F16" w14:paraId="5434E399" w14:textId="367609AA" w:rsidTr="00F867DE">
        <w:tc>
          <w:tcPr>
            <w:tcW w:w="4711" w:type="dxa"/>
          </w:tcPr>
          <w:p w14:paraId="484683A3"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Acreditar la procedencia lícita de los Hidrocarburos, Petrolíferos o Petroquímicos objeto de la autorización, y</w:t>
            </w:r>
          </w:p>
        </w:tc>
        <w:tc>
          <w:tcPr>
            <w:tcW w:w="4649" w:type="dxa"/>
          </w:tcPr>
          <w:p w14:paraId="695D90E1" w14:textId="13255403"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Prove the legal origin of the Hydrocarbons, Petroleum Products or Petrochemicals subject to the authorization, and</w:t>
            </w:r>
          </w:p>
        </w:tc>
      </w:tr>
      <w:tr w:rsidR="009849AC" w:rsidRPr="002C0F16" w14:paraId="4E13D7C6" w14:textId="458BE493" w:rsidTr="00F867DE">
        <w:tc>
          <w:tcPr>
            <w:tcW w:w="4711" w:type="dxa"/>
          </w:tcPr>
          <w:p w14:paraId="0C0C4731"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Cualquier información relacionada que se considere relevante como evidencia documental del caso fortuito o de fuerza mayor.</w:t>
            </w:r>
          </w:p>
        </w:tc>
        <w:tc>
          <w:tcPr>
            <w:tcW w:w="4649" w:type="dxa"/>
          </w:tcPr>
          <w:p w14:paraId="22CCB744" w14:textId="1A14B4AF"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Any related information that is considered relevant as documentary evidence of the fortuitous event or force majeure.</w:t>
            </w:r>
          </w:p>
        </w:tc>
      </w:tr>
      <w:tr w:rsidR="009849AC" w:rsidRPr="002C0F16" w14:paraId="28137B6F" w14:textId="229F79B5" w:rsidTr="00F867DE">
        <w:tc>
          <w:tcPr>
            <w:tcW w:w="4711" w:type="dxa"/>
          </w:tcPr>
          <w:p w14:paraId="6A49B0E0"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sz w:val="16"/>
                <w:szCs w:val="16"/>
              </w:rPr>
              <w:t>La Secretaría o la Comisión, según corresponda, deben resolver en un plazo máximo de dos días hábiles siguientes a la presentación de la solicitud. Si transcurrido dicho plazo no existiera un pronunciamiento de la Secretaría o la Comisión, la solicitud se debe entender por no autorizada.</w:t>
            </w:r>
          </w:p>
        </w:tc>
        <w:tc>
          <w:tcPr>
            <w:tcW w:w="4649" w:type="dxa"/>
          </w:tcPr>
          <w:p w14:paraId="5B0CCB9A" w14:textId="5BD8BD41"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The Secretary or the Commission, as appropriate, must resolve the request within a maximum of two business days following the submission of the request. If no decision is made by the Secretary or the Commission within this period, the request shall be deemed unauthorized.</w:t>
            </w:r>
          </w:p>
        </w:tc>
      </w:tr>
      <w:tr w:rsidR="009849AC" w:rsidRPr="002C0F16" w14:paraId="72ADA30A" w14:textId="14EBAB4A" w:rsidTr="00F867DE">
        <w:tc>
          <w:tcPr>
            <w:tcW w:w="4711" w:type="dxa"/>
          </w:tcPr>
          <w:p w14:paraId="0E73270C"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sz w:val="16"/>
                <w:szCs w:val="16"/>
              </w:rPr>
              <w:t>Cuando por situaciones de emergencia, fuga o incendio, que pongan en riesgo inmediato la vida, la salud o la seguridad de las personas que laboran en la instalación o en las comunidades aledañas a la misma, se puede realizar un Transvase provisional al ejecutar el protocolo de respuesta a emergencias, este se debe notificar a la Agencia, a la Secretaría, a la Comisión o a la Secretaría de Infraestructura, Comunicaciones y Transportes, según corresponda, conforme a la Normatividad vigente para tal fin.</w:t>
            </w:r>
          </w:p>
        </w:tc>
        <w:tc>
          <w:tcPr>
            <w:tcW w:w="4649" w:type="dxa"/>
          </w:tcPr>
          <w:p w14:paraId="3016EF47" w14:textId="4C587806"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When due to emergency situations, leaks or fires, which put the life, health or safety of the people working in the facility or in the surrounding communities at immediate risk, a provisional transfer can be carried out by executing the emergency response protocol, this must be notified to the Agency, the Secretary, the Commission or the Secretary of Infrastructure, Communications and Transportation, as appropriate, in accordance with the Regulation in force for this purpose.</w:t>
            </w:r>
          </w:p>
        </w:tc>
      </w:tr>
      <w:tr w:rsidR="009849AC" w:rsidRPr="002C0F16" w14:paraId="6E5EA86A" w14:textId="7AE655E0" w:rsidTr="00F867DE">
        <w:tc>
          <w:tcPr>
            <w:tcW w:w="4711" w:type="dxa"/>
          </w:tcPr>
          <w:p w14:paraId="0A54B2DE"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sz w:val="16"/>
                <w:szCs w:val="16"/>
              </w:rPr>
              <w:t>Las operaciones de Transvase sujetas a la autorización provisional de la Secretaría o la Comisión deben cumplir con los elementos técnicos y requisitos mínimos de seguridad industrial, seguridad operativa y protección al medio ambiente que defina la Agencia.</w:t>
            </w:r>
          </w:p>
        </w:tc>
        <w:tc>
          <w:tcPr>
            <w:tcW w:w="4649" w:type="dxa"/>
          </w:tcPr>
          <w:p w14:paraId="71795F78" w14:textId="466C0907"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Transfer operations subject to provisional authorization by the Secretary or the Commission must comply with the technical elements and minimum requirements for industrial safety, operational safety, and environmental protection defined by the Agency.</w:t>
            </w:r>
          </w:p>
        </w:tc>
      </w:tr>
      <w:tr w:rsidR="009849AC" w:rsidRPr="00D0180E" w14:paraId="20CE36F7" w14:textId="58506A6A" w:rsidTr="00F867DE">
        <w:tc>
          <w:tcPr>
            <w:tcW w:w="4711" w:type="dxa"/>
          </w:tcPr>
          <w:p w14:paraId="406FEC6F" w14:textId="77777777" w:rsidR="009849AC" w:rsidRPr="00837D4A" w:rsidRDefault="009849AC" w:rsidP="009849AC">
            <w:pPr>
              <w:pStyle w:val="Texto"/>
              <w:spacing w:line="232" w:lineRule="exact"/>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200F4D09" w14:textId="6D4578E4" w:rsidR="009849AC" w:rsidRPr="00837D4A" w:rsidRDefault="009849AC" w:rsidP="009849AC">
            <w:pPr>
              <w:pStyle w:val="Texto"/>
              <w:spacing w:line="232" w:lineRule="exact"/>
              <w:ind w:firstLine="0"/>
              <w:jc w:val="center"/>
              <w:rPr>
                <w:rFonts w:ascii="Verdana" w:hAnsi="Verdana"/>
                <w:b/>
                <w:sz w:val="16"/>
                <w:szCs w:val="16"/>
                <w:lang w:val="en-US"/>
              </w:rPr>
            </w:pPr>
            <w:r w:rsidRPr="00837D4A">
              <w:rPr>
                <w:rFonts w:ascii="Verdana" w:hAnsi="Verdana"/>
                <w:b/>
                <w:sz w:val="16"/>
                <w:szCs w:val="16"/>
                <w:lang w:val="en-US"/>
              </w:rPr>
              <w:t>Second Section</w:t>
            </w:r>
          </w:p>
        </w:tc>
      </w:tr>
      <w:tr w:rsidR="009849AC" w:rsidRPr="00D0180E" w14:paraId="2C25099A" w14:textId="060B14A9" w:rsidTr="00F867DE">
        <w:tc>
          <w:tcPr>
            <w:tcW w:w="4711" w:type="dxa"/>
          </w:tcPr>
          <w:p w14:paraId="221F7700" w14:textId="77777777" w:rsidR="009849AC" w:rsidRPr="00837D4A" w:rsidRDefault="009849AC" w:rsidP="009849AC">
            <w:pPr>
              <w:pStyle w:val="Texto"/>
              <w:spacing w:line="232" w:lineRule="exact"/>
              <w:ind w:firstLine="0"/>
              <w:jc w:val="center"/>
              <w:rPr>
                <w:rFonts w:ascii="Verdana" w:hAnsi="Verdana"/>
                <w:b/>
                <w:sz w:val="16"/>
                <w:szCs w:val="16"/>
              </w:rPr>
            </w:pPr>
            <w:r w:rsidRPr="00837D4A">
              <w:rPr>
                <w:rFonts w:ascii="Verdana" w:hAnsi="Verdana"/>
                <w:b/>
                <w:sz w:val="16"/>
                <w:szCs w:val="16"/>
              </w:rPr>
              <w:t>De la Importación y Exportación</w:t>
            </w:r>
          </w:p>
        </w:tc>
        <w:tc>
          <w:tcPr>
            <w:tcW w:w="4649" w:type="dxa"/>
          </w:tcPr>
          <w:p w14:paraId="72244852" w14:textId="1D3BA19D" w:rsidR="009849AC" w:rsidRPr="00837D4A" w:rsidRDefault="009849AC" w:rsidP="009849AC">
            <w:pPr>
              <w:pStyle w:val="Texto"/>
              <w:spacing w:line="232" w:lineRule="exact"/>
              <w:ind w:firstLine="0"/>
              <w:jc w:val="center"/>
              <w:rPr>
                <w:rFonts w:ascii="Verdana" w:hAnsi="Verdana"/>
                <w:b/>
                <w:sz w:val="16"/>
                <w:szCs w:val="16"/>
                <w:lang w:val="en-US"/>
              </w:rPr>
            </w:pPr>
            <w:r w:rsidRPr="00837D4A">
              <w:rPr>
                <w:rFonts w:ascii="Verdana" w:hAnsi="Verdana"/>
                <w:b/>
                <w:sz w:val="16"/>
                <w:szCs w:val="16"/>
                <w:lang w:val="en-US"/>
              </w:rPr>
              <w:t>Import and Export</w:t>
            </w:r>
          </w:p>
        </w:tc>
      </w:tr>
      <w:tr w:rsidR="009849AC" w:rsidRPr="002C0F16" w14:paraId="017B9916" w14:textId="74F76314" w:rsidTr="00F867DE">
        <w:tc>
          <w:tcPr>
            <w:tcW w:w="4711" w:type="dxa"/>
          </w:tcPr>
          <w:p w14:paraId="23EE212E"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Artículo 100.</w:t>
            </w:r>
            <w:r w:rsidRPr="00837D4A">
              <w:rPr>
                <w:rFonts w:ascii="Verdana" w:hAnsi="Verdana"/>
                <w:sz w:val="16"/>
                <w:szCs w:val="16"/>
              </w:rPr>
              <w:t xml:space="preserve"> El otorgamiento de permisos de importación y exportación de Hidrocarburos, Petrolíferos y Petroquímicos se debe llevar a cabo por la Secretaría en términos de la Ley, la Ley de Comercio Exterior, la planeación vinculante y demás Normatividad aplicable.</w:t>
            </w:r>
          </w:p>
        </w:tc>
        <w:tc>
          <w:tcPr>
            <w:tcW w:w="4649" w:type="dxa"/>
          </w:tcPr>
          <w:p w14:paraId="51A0E8AE" w14:textId="5C780376"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100. </w:t>
            </w:r>
            <w:r w:rsidRPr="00837D4A">
              <w:rPr>
                <w:rFonts w:ascii="Verdana" w:hAnsi="Verdana"/>
                <w:sz w:val="16"/>
                <w:szCs w:val="16"/>
                <w:lang w:val="en-US"/>
              </w:rPr>
              <w:t xml:space="preserve">The granting of import and export permits for hydrocarbons, petroleum products and petrochemicals must be carried out by the Secretary in accordance with the Law, the </w:t>
            </w:r>
            <w:r w:rsidR="003E22BD">
              <w:rPr>
                <w:rFonts w:ascii="Verdana" w:hAnsi="Verdana"/>
                <w:sz w:val="16"/>
                <w:szCs w:val="16"/>
                <w:lang w:val="en-US"/>
              </w:rPr>
              <w:t>Law of Foreign Commerce</w:t>
            </w:r>
            <w:r w:rsidRPr="00837D4A">
              <w:rPr>
                <w:rFonts w:ascii="Verdana" w:hAnsi="Verdana"/>
                <w:sz w:val="16"/>
                <w:szCs w:val="16"/>
                <w:lang w:val="en-US"/>
              </w:rPr>
              <w:t>, binding planning and other applicable legislation.</w:t>
            </w:r>
          </w:p>
        </w:tc>
      </w:tr>
      <w:tr w:rsidR="009849AC" w:rsidRPr="002C0F16" w14:paraId="621EA1E0" w14:textId="250B4323" w:rsidTr="00F867DE">
        <w:tc>
          <w:tcPr>
            <w:tcW w:w="4711" w:type="dxa"/>
          </w:tcPr>
          <w:p w14:paraId="7DAC9D62"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 xml:space="preserve">Artículo 101. </w:t>
            </w:r>
            <w:r w:rsidRPr="00837D4A">
              <w:rPr>
                <w:rFonts w:ascii="Verdana" w:hAnsi="Verdana"/>
                <w:sz w:val="16"/>
                <w:szCs w:val="16"/>
              </w:rPr>
              <w:t>El otorgamiento de un permiso de importación o exportación de Hidrocarburos, Petrolíferos y Petroquímicos no conlleva la autorización para llevar a cabo las demás actividades permisionadas o relacionadas con estas, conforme a la Ley, este reglamento y la Normatividad aplicable, las cuales, para su realización, requieren de los permisos correspondientes o de la contratación de los servicios de una persona Permisionaria.</w:t>
            </w:r>
          </w:p>
        </w:tc>
        <w:tc>
          <w:tcPr>
            <w:tcW w:w="4649" w:type="dxa"/>
          </w:tcPr>
          <w:p w14:paraId="3C1B6D15" w14:textId="1DBDE39D"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101. </w:t>
            </w:r>
            <w:r w:rsidRPr="00837D4A">
              <w:rPr>
                <w:rFonts w:ascii="Verdana" w:hAnsi="Verdana"/>
                <w:sz w:val="16"/>
                <w:szCs w:val="16"/>
                <w:lang w:val="en-US"/>
              </w:rPr>
              <w:t>The granting of an import or export permit for hydrocarbons, petroleum products and petrochemicals does not entail authorization to carry out other permitted activities or those related to these, in accordance with the Law, this regulation and the applicable legislation, which, for their implementation, require the corresponding permits or the contracting of the services of a Permit Holder.</w:t>
            </w:r>
          </w:p>
        </w:tc>
      </w:tr>
      <w:tr w:rsidR="009849AC" w:rsidRPr="002C0F16" w14:paraId="27A8B608" w14:textId="03349088" w:rsidTr="00F867DE">
        <w:tc>
          <w:tcPr>
            <w:tcW w:w="4711" w:type="dxa"/>
          </w:tcPr>
          <w:p w14:paraId="4C34FBB2"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sz w:val="16"/>
                <w:szCs w:val="16"/>
              </w:rPr>
              <w:t>Las personas Permisionarias de importación de Hidrocarburos, Petrolíferos y Petroquímicos son responsables de la medición y calidad de los productos que importen a la entrada a territorio nacional de conformidad con la Ley, este reglamento y la Normatividad aplicable, así como de informar a la Secretaría de forma fehaciente respecto de la Trazabilidad del origen y destino del producto, a través de los medios o mecanismos que determine la Secretaría.</w:t>
            </w:r>
          </w:p>
        </w:tc>
        <w:tc>
          <w:tcPr>
            <w:tcW w:w="4649" w:type="dxa"/>
          </w:tcPr>
          <w:p w14:paraId="129952FA" w14:textId="40318D23"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Permit holders of hydrocarbon, petroleum and petrochemical import permits are responsible for the measurement and quality of the products they import upon entry into national territory in accordance with the Law, this regulation and applicable legislation, as well as for reliably informing the Secretary regarding the traceability of the origin and destination of the product, through the means or mechanisms determined by the Secretary.</w:t>
            </w:r>
          </w:p>
        </w:tc>
      </w:tr>
      <w:tr w:rsidR="009849AC" w:rsidRPr="00D0180E" w14:paraId="7B773164" w14:textId="1F1102B0" w:rsidTr="00F867DE">
        <w:tc>
          <w:tcPr>
            <w:tcW w:w="4711" w:type="dxa"/>
          </w:tcPr>
          <w:p w14:paraId="0E5C06A2" w14:textId="77777777" w:rsidR="009849AC" w:rsidRPr="00837D4A" w:rsidRDefault="009849AC" w:rsidP="009849AC">
            <w:pPr>
              <w:pStyle w:val="Texto"/>
              <w:spacing w:line="232" w:lineRule="exact"/>
              <w:ind w:firstLine="0"/>
              <w:jc w:val="center"/>
              <w:rPr>
                <w:rFonts w:ascii="Verdana" w:hAnsi="Verdana"/>
                <w:b/>
                <w:sz w:val="16"/>
                <w:szCs w:val="16"/>
              </w:rPr>
            </w:pPr>
            <w:r w:rsidRPr="00837D4A">
              <w:rPr>
                <w:rFonts w:ascii="Verdana" w:hAnsi="Verdana"/>
                <w:b/>
                <w:sz w:val="16"/>
                <w:szCs w:val="16"/>
              </w:rPr>
              <w:lastRenderedPageBreak/>
              <w:t>Sección Tercera</w:t>
            </w:r>
          </w:p>
        </w:tc>
        <w:tc>
          <w:tcPr>
            <w:tcW w:w="4649" w:type="dxa"/>
          </w:tcPr>
          <w:p w14:paraId="6AA0D774" w14:textId="25ABD9F0" w:rsidR="009849AC" w:rsidRPr="00837D4A" w:rsidRDefault="009849AC" w:rsidP="009849AC">
            <w:pPr>
              <w:pStyle w:val="Texto"/>
              <w:spacing w:line="232" w:lineRule="exact"/>
              <w:ind w:firstLine="0"/>
              <w:jc w:val="center"/>
              <w:rPr>
                <w:rFonts w:ascii="Verdana" w:hAnsi="Verdana"/>
                <w:b/>
                <w:sz w:val="16"/>
                <w:szCs w:val="16"/>
                <w:lang w:val="en-US"/>
              </w:rPr>
            </w:pPr>
            <w:proofErr w:type="spellStart"/>
            <w:r w:rsidRPr="00837D4A">
              <w:rPr>
                <w:rFonts w:ascii="Verdana" w:hAnsi="Verdana"/>
                <w:b/>
                <w:sz w:val="16"/>
                <w:szCs w:val="16"/>
              </w:rPr>
              <w:t>Third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C0F16" w14:paraId="191D47AD" w14:textId="37765BDA" w:rsidTr="00F867DE">
        <w:tc>
          <w:tcPr>
            <w:tcW w:w="4711" w:type="dxa"/>
          </w:tcPr>
          <w:p w14:paraId="26AEC08A" w14:textId="77777777" w:rsidR="009849AC" w:rsidRPr="00837D4A" w:rsidRDefault="009849AC" w:rsidP="009849AC">
            <w:pPr>
              <w:pStyle w:val="Texto"/>
              <w:spacing w:line="232" w:lineRule="exact"/>
              <w:ind w:firstLine="0"/>
              <w:jc w:val="center"/>
              <w:rPr>
                <w:rFonts w:ascii="Verdana" w:hAnsi="Verdana"/>
                <w:b/>
                <w:sz w:val="16"/>
                <w:szCs w:val="16"/>
              </w:rPr>
            </w:pPr>
            <w:r w:rsidRPr="00837D4A">
              <w:rPr>
                <w:rFonts w:ascii="Verdana" w:hAnsi="Verdana"/>
                <w:b/>
                <w:sz w:val="16"/>
                <w:szCs w:val="16"/>
              </w:rPr>
              <w:t>Del Tratamiento y Refinación de Petróleo, del Procesamiento del Gas Natural y de la Formulación</w:t>
            </w:r>
          </w:p>
        </w:tc>
        <w:tc>
          <w:tcPr>
            <w:tcW w:w="4649" w:type="dxa"/>
          </w:tcPr>
          <w:p w14:paraId="52AE8473" w14:textId="6153D0D2" w:rsidR="009849AC" w:rsidRPr="00837D4A" w:rsidRDefault="009849AC" w:rsidP="009849AC">
            <w:pPr>
              <w:pStyle w:val="Texto"/>
              <w:spacing w:line="232" w:lineRule="exact"/>
              <w:ind w:firstLine="0"/>
              <w:jc w:val="center"/>
              <w:rPr>
                <w:rFonts w:ascii="Verdana" w:hAnsi="Verdana"/>
                <w:b/>
                <w:sz w:val="16"/>
                <w:szCs w:val="16"/>
                <w:lang w:val="en-US"/>
              </w:rPr>
            </w:pPr>
            <w:r w:rsidRPr="00837D4A">
              <w:rPr>
                <w:rFonts w:ascii="Verdana" w:hAnsi="Verdana"/>
                <w:b/>
                <w:sz w:val="16"/>
                <w:szCs w:val="16"/>
                <w:lang w:val="en-US"/>
              </w:rPr>
              <w:t>Treatment and Refining of Petroleum, from the Processing of Natural Gas and the Formulation</w:t>
            </w:r>
          </w:p>
        </w:tc>
      </w:tr>
      <w:tr w:rsidR="009849AC" w:rsidRPr="002C0F16" w14:paraId="02A23CD2" w14:textId="0C1C09D8" w:rsidTr="00F867DE">
        <w:tc>
          <w:tcPr>
            <w:tcW w:w="4711" w:type="dxa"/>
          </w:tcPr>
          <w:p w14:paraId="13536DA6"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 xml:space="preserve">Artículo 102. </w:t>
            </w:r>
            <w:r w:rsidRPr="00837D4A">
              <w:rPr>
                <w:rFonts w:ascii="Verdana" w:hAnsi="Verdana"/>
                <w:sz w:val="16"/>
                <w:szCs w:val="16"/>
              </w:rPr>
              <w:t>Los permisos para Tratamiento de Petróleo, Refinación de Petróleo, Procesamiento de Gas Natural y Formulación de Petrolíferos, deben otorgarse para un Sistema y una capacidad determinados, según corresponda, a propuesta de la persona solicitante.</w:t>
            </w:r>
          </w:p>
        </w:tc>
        <w:tc>
          <w:tcPr>
            <w:tcW w:w="4649" w:type="dxa"/>
          </w:tcPr>
          <w:p w14:paraId="2AB263AF" w14:textId="0E6487BC"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102. </w:t>
            </w:r>
            <w:r w:rsidRPr="00837D4A">
              <w:rPr>
                <w:rFonts w:ascii="Verdana" w:hAnsi="Verdana"/>
                <w:sz w:val="16"/>
                <w:szCs w:val="16"/>
                <w:lang w:val="en-US"/>
              </w:rPr>
              <w:t>Permits for petroleum treatment, petroleum refining, natural gas processing and petroleum product formulation must be granted for a specific system and capacity, as appropriate, at the proposal of the applicant.</w:t>
            </w:r>
          </w:p>
        </w:tc>
      </w:tr>
      <w:tr w:rsidR="009849AC" w:rsidRPr="002C0F16" w14:paraId="224DE283" w14:textId="18A6FD9A" w:rsidTr="00F867DE">
        <w:tc>
          <w:tcPr>
            <w:tcW w:w="4711" w:type="dxa"/>
          </w:tcPr>
          <w:p w14:paraId="2503EAA8"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sz w:val="16"/>
                <w:szCs w:val="16"/>
              </w:rPr>
              <w:t>Queda prohibida la adquisición, importación, ensamblaje, arrendamiento o cualquier forma de disposición, para su uso, goce o aprovechamiento de equipo o infraestructura por Particulares que no cuenten con los permisos, aprobaciones o autorizaciones correspondientes expedidos por las autoridades competentes para la realización de las actividades de Refinación de Petróleo, Procesamiento de Gas Natural y Formulación de Petrolíferos.</w:t>
            </w:r>
          </w:p>
        </w:tc>
        <w:tc>
          <w:tcPr>
            <w:tcW w:w="4649" w:type="dxa"/>
          </w:tcPr>
          <w:p w14:paraId="595BCC4B" w14:textId="0ED4E633"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The acquisition, importation, assembly, leasing or any form of disposal, for their use, enjoyment or exploitation of equipment or infrastructure by individuals who do not have the corresponding permits, approvals or authorizations issued by the appropriate authorities for the performance of the activities of petroleum refining, natural gas processing and petroleum formulation is prohibited.</w:t>
            </w:r>
          </w:p>
        </w:tc>
      </w:tr>
      <w:tr w:rsidR="009849AC" w:rsidRPr="002C0F16" w14:paraId="51A5D73E" w14:textId="31B940CC" w:rsidTr="00F867DE">
        <w:tc>
          <w:tcPr>
            <w:tcW w:w="4711" w:type="dxa"/>
          </w:tcPr>
          <w:p w14:paraId="20F77DE7"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Artículo 103.</w:t>
            </w:r>
            <w:r w:rsidRPr="00837D4A">
              <w:rPr>
                <w:rFonts w:ascii="Verdana" w:hAnsi="Verdana"/>
                <w:sz w:val="16"/>
                <w:szCs w:val="16"/>
              </w:rPr>
              <w:t xml:space="preserve"> Las personas Permisionarias de Tratamiento de Petróleo, Refinación de Petróleo, Procesamiento de Gas Natural y de Formulación de Petrolíferos, son responsables de la medición y calidad de los productos finales derivados de sus procesos, de conformidad con la Normatividad aplicable.</w:t>
            </w:r>
          </w:p>
        </w:tc>
        <w:tc>
          <w:tcPr>
            <w:tcW w:w="4649" w:type="dxa"/>
          </w:tcPr>
          <w:p w14:paraId="2AF7AD00" w14:textId="626C3210"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103. </w:t>
            </w:r>
            <w:r w:rsidRPr="00837D4A">
              <w:rPr>
                <w:rFonts w:ascii="Verdana" w:hAnsi="Verdana"/>
                <w:sz w:val="16"/>
                <w:szCs w:val="16"/>
                <w:lang w:val="en-US"/>
              </w:rPr>
              <w:t>Permit holders of petroleum treatment, petroleum refining, natural gas processing and petroleum formulation are responsible for the measurement and quality of the final products derived from their processes, in accordance with the applicable legislation.</w:t>
            </w:r>
          </w:p>
        </w:tc>
      </w:tr>
      <w:tr w:rsidR="009849AC" w:rsidRPr="002C0F16" w14:paraId="2DD0B715" w14:textId="7AB49923" w:rsidTr="00F867DE">
        <w:tc>
          <w:tcPr>
            <w:tcW w:w="4711" w:type="dxa"/>
          </w:tcPr>
          <w:p w14:paraId="623F3492"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Artículo 104.</w:t>
            </w:r>
            <w:r w:rsidRPr="00837D4A">
              <w:rPr>
                <w:rFonts w:ascii="Verdana" w:hAnsi="Verdana"/>
                <w:sz w:val="16"/>
                <w:szCs w:val="16"/>
              </w:rPr>
              <w:t xml:space="preserve"> Para la solicitud de un permiso de Formulación, además de los requisitos previstos en los artículos 80 y 84, fracción III de la Ley y 96 del presente reglamento y de la Normatividad aplicable, se debe presentar lo siguiente:</w:t>
            </w:r>
          </w:p>
        </w:tc>
        <w:tc>
          <w:tcPr>
            <w:tcW w:w="4649" w:type="dxa"/>
          </w:tcPr>
          <w:p w14:paraId="7D63C022" w14:textId="48BA39AD"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104. </w:t>
            </w:r>
            <w:r w:rsidRPr="00837D4A">
              <w:rPr>
                <w:rFonts w:ascii="Verdana" w:hAnsi="Verdana"/>
                <w:sz w:val="16"/>
                <w:szCs w:val="16"/>
                <w:lang w:val="en-US"/>
              </w:rPr>
              <w:t>To apply for a Formulation permit, in addition to the requirements set forth in articles 80 and 84, section III of the Law and 96 of this regulation and the applicable legislation, the following must be submitted:</w:t>
            </w:r>
          </w:p>
        </w:tc>
      </w:tr>
      <w:tr w:rsidR="009849AC" w:rsidRPr="002C0F16" w14:paraId="65A40337" w14:textId="76CED242" w:rsidTr="00F867DE">
        <w:tc>
          <w:tcPr>
            <w:tcW w:w="4711" w:type="dxa"/>
          </w:tcPr>
          <w:p w14:paraId="3B0C65A3"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Formato autorizado debidamente requisitado, con la siguiente información:</w:t>
            </w:r>
          </w:p>
        </w:tc>
        <w:tc>
          <w:tcPr>
            <w:tcW w:w="4649" w:type="dxa"/>
          </w:tcPr>
          <w:p w14:paraId="77651C31" w14:textId="6C825D02"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Duly completed authorized form, with the following information:</w:t>
            </w:r>
          </w:p>
        </w:tc>
      </w:tr>
      <w:tr w:rsidR="009849AC" w:rsidRPr="002C0F16" w14:paraId="39224793" w14:textId="7CF78B7E" w:rsidTr="00F867DE">
        <w:tc>
          <w:tcPr>
            <w:tcW w:w="4711" w:type="dxa"/>
          </w:tcPr>
          <w:p w14:paraId="601C4F7D"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Las especificaciones técnicas del proyecto;</w:t>
            </w:r>
          </w:p>
        </w:tc>
        <w:tc>
          <w:tcPr>
            <w:tcW w:w="4649" w:type="dxa"/>
          </w:tcPr>
          <w:p w14:paraId="3FAF5F2E" w14:textId="6036F5EF"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The technical specifications of the project;</w:t>
            </w:r>
          </w:p>
        </w:tc>
      </w:tr>
      <w:tr w:rsidR="009849AC" w:rsidRPr="002C0F16" w14:paraId="485CCE1C" w14:textId="45E32BAC" w:rsidTr="00F867DE">
        <w:tc>
          <w:tcPr>
            <w:tcW w:w="4711" w:type="dxa"/>
          </w:tcPr>
          <w:p w14:paraId="7320B215"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Descripción del Sistema con el cual se proyecta se lleve a cabo la Formulación;</w:t>
            </w:r>
          </w:p>
        </w:tc>
        <w:tc>
          <w:tcPr>
            <w:tcW w:w="4649" w:type="dxa"/>
          </w:tcPr>
          <w:p w14:paraId="370F35A9" w14:textId="3785B45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Description of the System with which the Formulation is projected to be carried out;</w:t>
            </w:r>
          </w:p>
        </w:tc>
      </w:tr>
      <w:tr w:rsidR="009849AC" w:rsidRPr="002C0F16" w14:paraId="7CBB78A0" w14:textId="5D8A5581" w:rsidTr="00F867DE">
        <w:tc>
          <w:tcPr>
            <w:tcW w:w="4711" w:type="dxa"/>
          </w:tcPr>
          <w:p w14:paraId="2B5BD307"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Descripción del biocombustible en términos de las especificaciones de calidad establecidas en la Normatividad aplicable</w:t>
            </w:r>
            <w:r w:rsidRPr="00837D4A">
              <w:rPr>
                <w:rFonts w:ascii="Verdana" w:hAnsi="Verdana"/>
                <w:b/>
                <w:sz w:val="16"/>
                <w:szCs w:val="16"/>
              </w:rPr>
              <w:t>;</w:t>
            </w:r>
          </w:p>
        </w:tc>
        <w:tc>
          <w:tcPr>
            <w:tcW w:w="4649" w:type="dxa"/>
          </w:tcPr>
          <w:p w14:paraId="1EFF3026" w14:textId="234586CE"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Description of the biofuel in terms of the quality specifications established in the applicable legislation</w:t>
            </w:r>
            <w:r w:rsidRPr="00837D4A">
              <w:rPr>
                <w:rFonts w:ascii="Verdana" w:hAnsi="Verdana"/>
                <w:b/>
                <w:sz w:val="16"/>
                <w:szCs w:val="16"/>
                <w:lang w:val="en-US"/>
              </w:rPr>
              <w:t>;</w:t>
            </w:r>
          </w:p>
        </w:tc>
      </w:tr>
      <w:tr w:rsidR="009849AC" w:rsidRPr="002C0F16" w14:paraId="5065552E" w14:textId="3EE6E611" w:rsidTr="00F867DE">
        <w:tc>
          <w:tcPr>
            <w:tcW w:w="4711" w:type="dxa"/>
          </w:tcPr>
          <w:p w14:paraId="3F0F7E19"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Descripción de los Sistemas de Almacenamiento de los biocombustibles;</w:t>
            </w:r>
          </w:p>
        </w:tc>
        <w:tc>
          <w:tcPr>
            <w:tcW w:w="4649" w:type="dxa"/>
          </w:tcPr>
          <w:p w14:paraId="3B14DFDC" w14:textId="7B42D2AA"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Description of Biofuel Storage Systems;</w:t>
            </w:r>
          </w:p>
        </w:tc>
      </w:tr>
      <w:tr w:rsidR="009849AC" w:rsidRPr="002C0F16" w14:paraId="3AD28A63" w14:textId="2ADCD1EA" w:rsidTr="00F867DE">
        <w:tc>
          <w:tcPr>
            <w:tcW w:w="4711" w:type="dxa"/>
          </w:tcPr>
          <w:p w14:paraId="5A81A638"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Mecanismos de segregación de cada tipo de Petrolífero y biocombustible;</w:t>
            </w:r>
          </w:p>
        </w:tc>
        <w:tc>
          <w:tcPr>
            <w:tcW w:w="4649" w:type="dxa"/>
          </w:tcPr>
          <w:p w14:paraId="746DD36C" w14:textId="4D98BD71"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Segregation mechanisms for each type of petroleum and biofuel;</w:t>
            </w:r>
          </w:p>
        </w:tc>
      </w:tr>
      <w:tr w:rsidR="009849AC" w:rsidRPr="002C0F16" w14:paraId="221A6367" w14:textId="3454D923" w:rsidTr="00F867DE">
        <w:tc>
          <w:tcPr>
            <w:tcW w:w="4711" w:type="dxa"/>
          </w:tcPr>
          <w:p w14:paraId="3A13BBDA"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Medios de transporte de los componentes y el producto de la Formulación, y</w:t>
            </w:r>
          </w:p>
        </w:tc>
        <w:tc>
          <w:tcPr>
            <w:tcW w:w="4649" w:type="dxa"/>
          </w:tcPr>
          <w:p w14:paraId="361AD3C8" w14:textId="77A8714A"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Means of transport of the components and the product of the Formulation, and</w:t>
            </w:r>
          </w:p>
        </w:tc>
      </w:tr>
      <w:tr w:rsidR="009849AC" w:rsidRPr="002C0F16" w14:paraId="42EB7937" w14:textId="3E3B5EBF" w:rsidTr="00F867DE">
        <w:tc>
          <w:tcPr>
            <w:tcW w:w="4711" w:type="dxa"/>
          </w:tcPr>
          <w:p w14:paraId="69642BA6"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g)</w:t>
            </w:r>
            <w:r w:rsidRPr="00837D4A">
              <w:rPr>
                <w:rFonts w:ascii="Verdana" w:hAnsi="Verdana"/>
                <w:b/>
                <w:sz w:val="16"/>
                <w:szCs w:val="16"/>
              </w:rPr>
              <w:tab/>
            </w:r>
            <w:r w:rsidRPr="00837D4A">
              <w:rPr>
                <w:rFonts w:ascii="Verdana" w:hAnsi="Verdana"/>
                <w:sz w:val="16"/>
                <w:szCs w:val="16"/>
              </w:rPr>
              <w:t>Los demás que se señalen en la Normatividad aplicable;</w:t>
            </w:r>
          </w:p>
        </w:tc>
        <w:tc>
          <w:tcPr>
            <w:tcW w:w="4649" w:type="dxa"/>
          </w:tcPr>
          <w:p w14:paraId="06AE9CFB" w14:textId="20DDFD99"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g) </w:t>
            </w:r>
            <w:r w:rsidRPr="00837D4A">
              <w:rPr>
                <w:rFonts w:ascii="Verdana" w:hAnsi="Verdana"/>
                <w:b/>
                <w:sz w:val="16"/>
                <w:szCs w:val="16"/>
                <w:lang w:val="en-US"/>
              </w:rPr>
              <w:tab/>
            </w:r>
            <w:r w:rsidRPr="00837D4A">
              <w:rPr>
                <w:rFonts w:ascii="Verdana" w:hAnsi="Verdana"/>
                <w:sz w:val="16"/>
                <w:szCs w:val="16"/>
                <w:lang w:val="en-US"/>
              </w:rPr>
              <w:t>Others indicated in the applicable legislation;</w:t>
            </w:r>
          </w:p>
        </w:tc>
      </w:tr>
      <w:tr w:rsidR="009849AC" w:rsidRPr="002C0F16" w14:paraId="3AC1E521" w14:textId="73C9099E" w:rsidTr="00F867DE">
        <w:tc>
          <w:tcPr>
            <w:tcW w:w="4711" w:type="dxa"/>
          </w:tcPr>
          <w:p w14:paraId="5E95FAC3"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Acreditar la procedencia lícita de los Petrolíferos y biocombustibles a emplear en la Formulación;</w:t>
            </w:r>
          </w:p>
        </w:tc>
        <w:tc>
          <w:tcPr>
            <w:tcW w:w="4649" w:type="dxa"/>
          </w:tcPr>
          <w:p w14:paraId="0282FAB2" w14:textId="2013FDE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Certify the legal origin of the petroleum products and biofuels to be used in the formulation;</w:t>
            </w:r>
          </w:p>
        </w:tc>
      </w:tr>
      <w:tr w:rsidR="009849AC" w:rsidRPr="002C0F16" w14:paraId="375E0AD6" w14:textId="75D841B9" w:rsidTr="00F867DE">
        <w:tc>
          <w:tcPr>
            <w:tcW w:w="4711" w:type="dxa"/>
          </w:tcPr>
          <w:p w14:paraId="3B7FF81C"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Acreditar que el biocombustible cumple con la calidad establecida en la Normatividad aplicable;</w:t>
            </w:r>
          </w:p>
        </w:tc>
        <w:tc>
          <w:tcPr>
            <w:tcW w:w="4649" w:type="dxa"/>
          </w:tcPr>
          <w:p w14:paraId="045E45DB" w14:textId="38BE534F"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Certify that the biofuel meets the quality established in the applicable legislation;</w:t>
            </w:r>
          </w:p>
        </w:tc>
      </w:tr>
      <w:tr w:rsidR="009849AC" w:rsidRPr="002C0F16" w14:paraId="00270EF8" w14:textId="2FAA9F7A" w:rsidTr="00F867DE">
        <w:tc>
          <w:tcPr>
            <w:tcW w:w="4711" w:type="dxa"/>
          </w:tcPr>
          <w:p w14:paraId="2DD28437"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lastRenderedPageBreak/>
              <w:t>IV.</w:t>
            </w:r>
            <w:r w:rsidRPr="00837D4A">
              <w:rPr>
                <w:rFonts w:ascii="Verdana" w:hAnsi="Verdana"/>
                <w:b/>
                <w:sz w:val="16"/>
                <w:szCs w:val="16"/>
              </w:rPr>
              <w:tab/>
            </w:r>
            <w:r w:rsidRPr="00837D4A">
              <w:rPr>
                <w:rFonts w:ascii="Verdana" w:hAnsi="Verdana"/>
                <w:sz w:val="16"/>
                <w:szCs w:val="16"/>
              </w:rPr>
              <w:t>Acreditar las relaciones comerciales con las personas Usuarias a quienes les suministra el Petrolífero resultado de la Formulación, y</w:t>
            </w:r>
          </w:p>
        </w:tc>
        <w:tc>
          <w:tcPr>
            <w:tcW w:w="4649" w:type="dxa"/>
          </w:tcPr>
          <w:p w14:paraId="3FB4D8A6" w14:textId="4CB21EA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Certify the commercial relations with the Users to whom the Petroleum resulting from the Formulation is supplied, and</w:t>
            </w:r>
          </w:p>
        </w:tc>
      </w:tr>
      <w:tr w:rsidR="009849AC" w:rsidRPr="002C0F16" w14:paraId="4B723E2A" w14:textId="17E81D2B" w:rsidTr="00F867DE">
        <w:tc>
          <w:tcPr>
            <w:tcW w:w="4711" w:type="dxa"/>
          </w:tcPr>
          <w:p w14:paraId="75760387"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Las demás que determine la Normatividad que la Secretaría, la Comisión, la Agencia u otras autoridades emitan.</w:t>
            </w:r>
          </w:p>
        </w:tc>
        <w:tc>
          <w:tcPr>
            <w:tcW w:w="4649" w:type="dxa"/>
          </w:tcPr>
          <w:p w14:paraId="3EB3AB53" w14:textId="7FDE4EE0"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Others determined by the Legislation issued by the Secretary, the Commission, the Agency or other authorities.</w:t>
            </w:r>
          </w:p>
        </w:tc>
      </w:tr>
      <w:tr w:rsidR="009849AC" w:rsidRPr="002C0F16" w14:paraId="21C48FAF" w14:textId="0DC06B8B" w:rsidTr="00F867DE">
        <w:tc>
          <w:tcPr>
            <w:tcW w:w="4711" w:type="dxa"/>
          </w:tcPr>
          <w:p w14:paraId="78C7BDAD"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De conformidad con el artículo 85 de la Ley, contar con un permiso de Formulación no conlleva el derecho de comercializar, almacenar, distribuir o expender el Petrolífero producto de la Formulación, ni realizar cualquier otra actividad que requiera contar con el permiso correspondiente emitido por la Secretaría o la Comisión en el ámbito de sus respectivas competencias.</w:t>
            </w:r>
          </w:p>
        </w:tc>
        <w:tc>
          <w:tcPr>
            <w:tcW w:w="4649" w:type="dxa"/>
          </w:tcPr>
          <w:p w14:paraId="29EA658D" w14:textId="28ACAF9B"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Pursuant to Article 85 of the Law, holding a Formulation Permit does not entail the right to market, store, distribute, or sell the Petroleum product of the Formulation, nor carry out any other activity that requires the corresponding permit issued by the Secretary or the Commission within the scope of their respective powers.</w:t>
            </w:r>
          </w:p>
        </w:tc>
      </w:tr>
      <w:tr w:rsidR="009849AC" w:rsidRPr="002C0F16" w14:paraId="134D8D1E" w14:textId="20469297" w:rsidTr="00F867DE">
        <w:tc>
          <w:tcPr>
            <w:tcW w:w="4711" w:type="dxa"/>
          </w:tcPr>
          <w:p w14:paraId="0CC8ED8A"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Para efectos regulatorios, el producto resultado de la mezcla de Gasolinas, Diésel y Turbosina con biocombustibles constituye un Petrolífero, y debe cumplir con las especificaciones de calidad establecidas en la Normatividad aplicable.</w:t>
            </w:r>
          </w:p>
        </w:tc>
        <w:tc>
          <w:tcPr>
            <w:tcW w:w="4649" w:type="dxa"/>
          </w:tcPr>
          <w:p w14:paraId="4E725F74" w14:textId="186BB7C7"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For regulatory purposes, the product resulting from the blending of gasoline, diesel, and jet fuel with biofuels constitutes a petroleum product and must meet the quality specifications established in the applicable legislation.</w:t>
            </w:r>
          </w:p>
        </w:tc>
      </w:tr>
      <w:tr w:rsidR="009849AC" w:rsidRPr="002C0F16" w14:paraId="1D83285B" w14:textId="14C4D29D" w:rsidTr="00F867DE">
        <w:tc>
          <w:tcPr>
            <w:tcW w:w="4711" w:type="dxa"/>
          </w:tcPr>
          <w:p w14:paraId="212B8467"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Las personas Permisionarias de Formulación no deben realizar mezclas distintas a las autorizadas y no deben comercializar Petrolíferos que no hayan sido mezclados con biocombustibles, conforme a la Normatividad aplicable.</w:t>
            </w:r>
          </w:p>
        </w:tc>
        <w:tc>
          <w:tcPr>
            <w:tcW w:w="4649" w:type="dxa"/>
          </w:tcPr>
          <w:p w14:paraId="5DD092F8" w14:textId="0558D39F"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Formulation Permit holders must not make mixtures other than those authorized and must not market petroleum products that have not been mixed with biofuels, in accordance with applicable legislation.</w:t>
            </w:r>
          </w:p>
        </w:tc>
      </w:tr>
      <w:tr w:rsidR="009849AC" w:rsidRPr="002C0F16" w14:paraId="3599F833" w14:textId="25A32E4E" w:rsidTr="00F867DE">
        <w:tc>
          <w:tcPr>
            <w:tcW w:w="4711" w:type="dxa"/>
          </w:tcPr>
          <w:p w14:paraId="4BAFE2BB"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En caso de que el solicitante sea sujeto obligado a dar cumplimiento a la política pública que emita la Secretaría en términos del artículo 115, fracción II de la Ley, debe presentar la documentación e información necesaria para acreditar su cumplimiento.</w:t>
            </w:r>
          </w:p>
        </w:tc>
        <w:tc>
          <w:tcPr>
            <w:tcW w:w="4649" w:type="dxa"/>
          </w:tcPr>
          <w:p w14:paraId="003423A2" w14:textId="4B4F3418"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If the applicant is required to comply with the public policy issued by the Secretary pursuant to Article 115, Section II of the Law, they must submit the necessary documentation and information to demonstrate compliance.</w:t>
            </w:r>
          </w:p>
        </w:tc>
      </w:tr>
      <w:tr w:rsidR="009849AC" w:rsidRPr="002C0F16" w14:paraId="461427A1" w14:textId="6B47A14A" w:rsidTr="00F867DE">
        <w:tc>
          <w:tcPr>
            <w:tcW w:w="4711" w:type="dxa"/>
          </w:tcPr>
          <w:p w14:paraId="6ED39551"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De conformidad con lo señalado en el artículo 84 de la Ley, la Comisión debe establecer en la Normatividad aplicable los términos y condiciones del permiso de Formulación de Petrolíferos.</w:t>
            </w:r>
          </w:p>
        </w:tc>
        <w:tc>
          <w:tcPr>
            <w:tcW w:w="4649" w:type="dxa"/>
          </w:tcPr>
          <w:p w14:paraId="360390DE" w14:textId="16D2ACDF"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Pursuant to Article 84 of the Act, the Commission must establish the terms and conditions of the Petroleum Formulation Permit in the applicable legislation.</w:t>
            </w:r>
          </w:p>
        </w:tc>
      </w:tr>
      <w:tr w:rsidR="009849AC" w:rsidRPr="002C0F16" w14:paraId="77163898" w14:textId="41D9559D" w:rsidTr="00F867DE">
        <w:tc>
          <w:tcPr>
            <w:tcW w:w="4711" w:type="dxa"/>
          </w:tcPr>
          <w:p w14:paraId="0E413836"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105.</w:t>
            </w:r>
            <w:r w:rsidRPr="00837D4A">
              <w:rPr>
                <w:rFonts w:ascii="Verdana" w:hAnsi="Verdana"/>
                <w:sz w:val="16"/>
                <w:szCs w:val="16"/>
              </w:rPr>
              <w:t xml:space="preserve"> Para evaluar la solicitud del permiso de Formulación, la Comisión debe considerar, además de lo señalado en el artículo 81 de la Ley, 96 del presente reglamento y la planeación vinculante, el cumplimiento de, entre otros, los siguientes criterios:</w:t>
            </w:r>
          </w:p>
        </w:tc>
        <w:tc>
          <w:tcPr>
            <w:tcW w:w="4649" w:type="dxa"/>
          </w:tcPr>
          <w:p w14:paraId="49B62E05" w14:textId="2D7C03B8"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105. </w:t>
            </w:r>
            <w:r w:rsidRPr="00837D4A">
              <w:rPr>
                <w:rFonts w:ascii="Verdana" w:hAnsi="Verdana"/>
                <w:sz w:val="16"/>
                <w:szCs w:val="16"/>
                <w:lang w:val="en-US"/>
              </w:rPr>
              <w:t>To evaluate the application for a Formulation permit, the Commission must consider, in addition to what is stated in Article 81 of the Law, 96 of this regulation and the binding planning, compliance with, among others, the following criteria:</w:t>
            </w:r>
          </w:p>
        </w:tc>
      </w:tr>
      <w:tr w:rsidR="009849AC" w:rsidRPr="002C0F16" w14:paraId="75F78969" w14:textId="6D104251" w:rsidTr="00F867DE">
        <w:tc>
          <w:tcPr>
            <w:tcW w:w="4711" w:type="dxa"/>
          </w:tcPr>
          <w:p w14:paraId="2A861C47"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capacidad técnica, financiera y jurídica de la persona solicitante;</w:t>
            </w:r>
          </w:p>
        </w:tc>
        <w:tc>
          <w:tcPr>
            <w:tcW w:w="4649" w:type="dxa"/>
          </w:tcPr>
          <w:p w14:paraId="23CD08BA" w14:textId="09A76D5C"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technical, financial and legal capacity of the applicant;</w:t>
            </w:r>
          </w:p>
        </w:tc>
      </w:tr>
      <w:tr w:rsidR="009849AC" w:rsidRPr="002C0F16" w14:paraId="4D1D7A15" w14:textId="0BD47F3F" w:rsidTr="00F867DE">
        <w:tc>
          <w:tcPr>
            <w:tcW w:w="4711" w:type="dxa"/>
          </w:tcPr>
          <w:p w14:paraId="345F7522"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Que el proyecto sea acorde a la política pública en materia energética;</w:t>
            </w:r>
          </w:p>
        </w:tc>
        <w:tc>
          <w:tcPr>
            <w:tcW w:w="4649" w:type="dxa"/>
          </w:tcPr>
          <w:p w14:paraId="722245C9" w14:textId="771B08C8"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That the project is in accordance with public policy on energy matters;</w:t>
            </w:r>
          </w:p>
        </w:tc>
      </w:tr>
      <w:tr w:rsidR="009849AC" w:rsidRPr="002C0F16" w14:paraId="27DC394A" w14:textId="27DC2F2D" w:rsidTr="00F867DE">
        <w:tc>
          <w:tcPr>
            <w:tcW w:w="4711" w:type="dxa"/>
          </w:tcPr>
          <w:p w14:paraId="7EE16492"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Que la Formulación se lleve a cabo exclusivamente con biocombustibles;</w:t>
            </w:r>
          </w:p>
        </w:tc>
        <w:tc>
          <w:tcPr>
            <w:tcW w:w="4649" w:type="dxa"/>
          </w:tcPr>
          <w:p w14:paraId="450A8E44" w14:textId="632CE0D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That the Formulation be carried out exclusively with biofuels;</w:t>
            </w:r>
          </w:p>
        </w:tc>
      </w:tr>
      <w:tr w:rsidR="009849AC" w:rsidRPr="002C0F16" w14:paraId="67285685" w14:textId="41009408" w:rsidTr="00F867DE">
        <w:tc>
          <w:tcPr>
            <w:tcW w:w="4711" w:type="dxa"/>
          </w:tcPr>
          <w:p w14:paraId="468E9649"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Que se acredite que la Formulación da como resultado un producto de valor agregado;</w:t>
            </w:r>
          </w:p>
        </w:tc>
        <w:tc>
          <w:tcPr>
            <w:tcW w:w="4649" w:type="dxa"/>
          </w:tcPr>
          <w:p w14:paraId="4E3BBBC4" w14:textId="4BBB29A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That it is proven that the Formulation results in a value-added product;</w:t>
            </w:r>
          </w:p>
        </w:tc>
      </w:tr>
      <w:tr w:rsidR="009849AC" w:rsidRPr="002C0F16" w14:paraId="44817672" w14:textId="649F2545" w:rsidTr="00F867DE">
        <w:tc>
          <w:tcPr>
            <w:tcW w:w="4711" w:type="dxa"/>
          </w:tcPr>
          <w:p w14:paraId="118C0AA7"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Que el biocombustible cumple con lo establecido en la Ley de Biocombustibles, su reglamento y demás Normatividad aplicable, y</w:t>
            </w:r>
          </w:p>
        </w:tc>
        <w:tc>
          <w:tcPr>
            <w:tcW w:w="4649" w:type="dxa"/>
          </w:tcPr>
          <w:p w14:paraId="4865A474" w14:textId="27731FE9"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 xml:space="preserve">That the biofuel complies with the provisions of </w:t>
            </w:r>
            <w:r w:rsidR="00973D9D">
              <w:rPr>
                <w:rFonts w:ascii="Verdana" w:hAnsi="Verdana"/>
                <w:sz w:val="16"/>
                <w:szCs w:val="16"/>
                <w:lang w:val="en-US"/>
              </w:rPr>
              <w:t>the Law of Biofuels</w:t>
            </w:r>
            <w:r w:rsidRPr="00837D4A">
              <w:rPr>
                <w:rFonts w:ascii="Verdana" w:hAnsi="Verdana"/>
                <w:sz w:val="16"/>
                <w:szCs w:val="16"/>
                <w:lang w:val="en-US"/>
              </w:rPr>
              <w:t>, its Regulation and other applicable legislation, and</w:t>
            </w:r>
          </w:p>
        </w:tc>
      </w:tr>
      <w:tr w:rsidR="009849AC" w:rsidRPr="002C0F16" w14:paraId="4B93668C" w14:textId="7E62CE8D" w:rsidTr="00F867DE">
        <w:tc>
          <w:tcPr>
            <w:tcW w:w="4711" w:type="dxa"/>
          </w:tcPr>
          <w:p w14:paraId="35A9BBB9"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Las demás que señale la Normatividad que la Secretaría, la Comisión, la Agencia u otras autoridades emitan.</w:t>
            </w:r>
          </w:p>
        </w:tc>
        <w:tc>
          <w:tcPr>
            <w:tcW w:w="4649" w:type="dxa"/>
          </w:tcPr>
          <w:p w14:paraId="2F9B0450" w14:textId="4581F5CE"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Any other Regulation indicated by the Secretary, the Commission, the Agency or other authorities.</w:t>
            </w:r>
          </w:p>
        </w:tc>
      </w:tr>
      <w:tr w:rsidR="009849AC" w:rsidRPr="00D0180E" w14:paraId="3FAAB66C" w14:textId="69014C19" w:rsidTr="00F867DE">
        <w:tc>
          <w:tcPr>
            <w:tcW w:w="4711" w:type="dxa"/>
          </w:tcPr>
          <w:p w14:paraId="70D1E77E"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lastRenderedPageBreak/>
              <w:t>Sección Cuarta</w:t>
            </w:r>
          </w:p>
        </w:tc>
        <w:tc>
          <w:tcPr>
            <w:tcW w:w="4649" w:type="dxa"/>
          </w:tcPr>
          <w:p w14:paraId="71D14F85" w14:textId="533CB682" w:rsidR="009849AC" w:rsidRPr="00837D4A" w:rsidRDefault="009849AC" w:rsidP="009849AC">
            <w:pPr>
              <w:pStyle w:val="Texto"/>
              <w:spacing w:line="224" w:lineRule="exact"/>
              <w:ind w:firstLine="0"/>
              <w:jc w:val="center"/>
              <w:rPr>
                <w:rFonts w:ascii="Verdana" w:hAnsi="Verdana"/>
                <w:b/>
                <w:sz w:val="16"/>
                <w:szCs w:val="16"/>
                <w:lang w:val="en-US"/>
              </w:rPr>
            </w:pPr>
            <w:r w:rsidRPr="00837D4A">
              <w:rPr>
                <w:rFonts w:ascii="Verdana" w:hAnsi="Verdana"/>
                <w:b/>
                <w:sz w:val="16"/>
                <w:szCs w:val="16"/>
                <w:lang w:val="en-US"/>
              </w:rPr>
              <w:t>Fourth Section</w:t>
            </w:r>
          </w:p>
        </w:tc>
      </w:tr>
      <w:tr w:rsidR="009849AC" w:rsidRPr="00D0180E" w14:paraId="14054DD1" w14:textId="05E48580" w:rsidTr="00F867DE">
        <w:tc>
          <w:tcPr>
            <w:tcW w:w="4711" w:type="dxa"/>
          </w:tcPr>
          <w:p w14:paraId="13252B92"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De la Comercialización</w:t>
            </w:r>
          </w:p>
        </w:tc>
        <w:tc>
          <w:tcPr>
            <w:tcW w:w="4649" w:type="dxa"/>
          </w:tcPr>
          <w:p w14:paraId="2AE22D6F" w14:textId="10675B1B" w:rsidR="009849AC" w:rsidRPr="00837D4A" w:rsidRDefault="009849AC" w:rsidP="009849AC">
            <w:pPr>
              <w:pStyle w:val="Texto"/>
              <w:spacing w:line="224" w:lineRule="exact"/>
              <w:ind w:firstLine="0"/>
              <w:jc w:val="center"/>
              <w:rPr>
                <w:rFonts w:ascii="Verdana" w:hAnsi="Verdana"/>
                <w:b/>
                <w:sz w:val="16"/>
                <w:szCs w:val="16"/>
                <w:lang w:val="en-US"/>
              </w:rPr>
            </w:pPr>
            <w:r w:rsidRPr="00837D4A">
              <w:rPr>
                <w:rFonts w:ascii="Verdana" w:hAnsi="Verdana"/>
                <w:b/>
                <w:sz w:val="16"/>
                <w:szCs w:val="16"/>
                <w:lang w:val="en-US"/>
              </w:rPr>
              <w:t>Marketing</w:t>
            </w:r>
          </w:p>
        </w:tc>
      </w:tr>
      <w:tr w:rsidR="009849AC" w:rsidRPr="002C0F16" w14:paraId="1AF9A324" w14:textId="41F5BC10" w:rsidTr="00F867DE">
        <w:tc>
          <w:tcPr>
            <w:tcW w:w="4711" w:type="dxa"/>
          </w:tcPr>
          <w:p w14:paraId="2A87133C"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 xml:space="preserve">Artículo 106. </w:t>
            </w:r>
            <w:r w:rsidRPr="00837D4A">
              <w:rPr>
                <w:rFonts w:ascii="Verdana" w:hAnsi="Verdana"/>
                <w:sz w:val="16"/>
                <w:szCs w:val="16"/>
              </w:rPr>
              <w:t>El permiso de Comercialización debe otorgarse de manera independiente para Hidrocarburos, Petrolíferos o Petroquímicos, según corresponda. Para el caso específico del permiso de Comercialización de Gas Licuado de Petróleo, este a su vez debe ser otorgado de manera independiente a los demás Petrolíferos.</w:t>
            </w:r>
          </w:p>
        </w:tc>
        <w:tc>
          <w:tcPr>
            <w:tcW w:w="4649" w:type="dxa"/>
          </w:tcPr>
          <w:p w14:paraId="0B3C8942" w14:textId="09AE5300"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106. </w:t>
            </w:r>
            <w:r w:rsidRPr="00837D4A">
              <w:rPr>
                <w:rFonts w:ascii="Verdana" w:hAnsi="Verdana"/>
                <w:sz w:val="16"/>
                <w:szCs w:val="16"/>
                <w:lang w:val="en-US"/>
              </w:rPr>
              <w:t>The Marketing Permit must be granted separately for hydrocarbons, petroleum products, or petrochemicals, as appropriate. In the specific case of the Marketing Permit for Liquefied Petroleum Gas, this permit must be granted separately for other petroleum products.</w:t>
            </w:r>
          </w:p>
        </w:tc>
      </w:tr>
      <w:tr w:rsidR="009849AC" w:rsidRPr="002C0F16" w14:paraId="3954C3FB" w14:textId="2C6A5B7B" w:rsidTr="00F867DE">
        <w:tc>
          <w:tcPr>
            <w:tcW w:w="4711" w:type="dxa"/>
          </w:tcPr>
          <w:p w14:paraId="75F45459"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Artículo 107.</w:t>
            </w:r>
            <w:r w:rsidRPr="00837D4A">
              <w:rPr>
                <w:rFonts w:ascii="Verdana" w:hAnsi="Verdana"/>
                <w:sz w:val="16"/>
                <w:szCs w:val="16"/>
              </w:rPr>
              <w:t xml:space="preserve"> Las personas titulares de permisos de Comercialización pueden prestar el servicio a otras personas Usuarias que también sean titulares de un permiso de Comercialización, siempre y cuando dicho servicio incluya la gestión o contratación de los servicios de Transporte, Almacenamiento o Distribución. Lo previsto en este párrafo no es aplicable a las empresas públicas del Estado y sus filiales.</w:t>
            </w:r>
          </w:p>
        </w:tc>
        <w:tc>
          <w:tcPr>
            <w:tcW w:w="4649" w:type="dxa"/>
          </w:tcPr>
          <w:p w14:paraId="0744417F" w14:textId="4A37DFA3"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107. </w:t>
            </w:r>
            <w:r w:rsidRPr="00837D4A">
              <w:rPr>
                <w:rFonts w:ascii="Verdana" w:hAnsi="Verdana"/>
                <w:sz w:val="16"/>
                <w:szCs w:val="16"/>
                <w:lang w:val="en-US"/>
              </w:rPr>
              <w:t>Holders of Marketing Permits may provide services to other Users who also hold a Marketing Permit, provided that said service includes the management or contracting of transportation, storage, or distribution services. The provisions of this paragraph do not apply to state-owned companies and their subsidiaries.</w:t>
            </w:r>
          </w:p>
        </w:tc>
      </w:tr>
      <w:tr w:rsidR="009849AC" w:rsidRPr="002C0F16" w14:paraId="0F3D8618" w14:textId="6091675F" w:rsidTr="00F867DE">
        <w:tc>
          <w:tcPr>
            <w:tcW w:w="4711" w:type="dxa"/>
          </w:tcPr>
          <w:p w14:paraId="03EF5286"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Con independencia de lo previsto en el párrafo anterior, en la Normatividad que la Secretaría o la Comisión emitan en el ámbito de sus atribuciones para regular la Comercialización pueden establecer limitaciones a las operaciones que realicen entre las personas Permisionarias de Comercialización.</w:t>
            </w:r>
          </w:p>
        </w:tc>
        <w:tc>
          <w:tcPr>
            <w:tcW w:w="4649" w:type="dxa"/>
          </w:tcPr>
          <w:p w14:paraId="4537973B" w14:textId="195385EF"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Notwithstanding the provisions of the preceding paragraph, the Legislation issued by the Secretary or the Commission within the scope of their powers to regulate Marketing may establish limitations on the transactions carried out between Marketing Permit Holders.</w:t>
            </w:r>
          </w:p>
        </w:tc>
      </w:tr>
      <w:tr w:rsidR="009849AC" w:rsidRPr="002C0F16" w14:paraId="3BA33DE2" w14:textId="00B1859C" w:rsidTr="00F867DE">
        <w:tc>
          <w:tcPr>
            <w:tcW w:w="4711" w:type="dxa"/>
          </w:tcPr>
          <w:p w14:paraId="464E0F06"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Las personas titulares de permisos de Comercialización de Petrolíferos, con excepción de Gas Licuado de Petróleo, deben comercializar únicamente productos con una marca comercial previamente registrada ante la Comisión conforme a la Normatividad que para tal efecto emita la Comisión.</w:t>
            </w:r>
          </w:p>
        </w:tc>
        <w:tc>
          <w:tcPr>
            <w:tcW w:w="4649" w:type="dxa"/>
          </w:tcPr>
          <w:p w14:paraId="355F569D" w14:textId="22368F1F"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Holders of petroleum marketing permits, with the exception of liquefied petroleum gas, must only market products with a trademark previously registered with the Commission in accordance with the Regulation issued for this purpose by the Commission.</w:t>
            </w:r>
          </w:p>
        </w:tc>
      </w:tr>
      <w:tr w:rsidR="009849AC" w:rsidRPr="002C0F16" w14:paraId="453F46F2" w14:textId="258A8D92" w:rsidTr="00F867DE">
        <w:tc>
          <w:tcPr>
            <w:tcW w:w="4711" w:type="dxa"/>
          </w:tcPr>
          <w:p w14:paraId="0089E5BD"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Por cada contrato de servicio que formalicen, las personas Permisionarias deben notificar a la Comisión la marca del producto comercializado y así declararse en cada transacción derivada de este. Lo anterior, con el propósito de brindar mayor Trazabilidad en la cadena de suministro y dar garantías a las personas Usuarias, respecto del origen lícito del producto que consumen.</w:t>
            </w:r>
          </w:p>
        </w:tc>
        <w:tc>
          <w:tcPr>
            <w:tcW w:w="4649" w:type="dxa"/>
          </w:tcPr>
          <w:p w14:paraId="4F65D26C" w14:textId="0DF8258D"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For each service contract they enter into, Permit Holders must notify the Commission of the brand of the product sold and declare this in each transaction derived from it. This is intended to provide greater traceability in the supply chain and guarantee users the legal origin of the product they consume.</w:t>
            </w:r>
          </w:p>
        </w:tc>
      </w:tr>
      <w:tr w:rsidR="009849AC" w:rsidRPr="002C0F16" w14:paraId="165200C0" w14:textId="10465A28" w:rsidTr="00F867DE">
        <w:tc>
          <w:tcPr>
            <w:tcW w:w="4711" w:type="dxa"/>
          </w:tcPr>
          <w:p w14:paraId="2791901A"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 xml:space="preserve">Artículo 108. </w:t>
            </w:r>
            <w:r w:rsidRPr="00837D4A">
              <w:rPr>
                <w:rFonts w:ascii="Verdana" w:hAnsi="Verdana"/>
                <w:sz w:val="16"/>
                <w:szCs w:val="16"/>
              </w:rPr>
              <w:t>Las personas interesadas en obtener un permiso de Comercialización deben presentar su solicitud conforme a lo previsto en los artículos 80 y 82 fracción IV de la Ley y 96 del presente reglamento, a través del formato autorizado por la Secretaría o la Comisión, según corresponda, y presentar la siguiente información:</w:t>
            </w:r>
          </w:p>
        </w:tc>
        <w:tc>
          <w:tcPr>
            <w:tcW w:w="4649" w:type="dxa"/>
          </w:tcPr>
          <w:p w14:paraId="75FD7550" w14:textId="5FC57EF4"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108. </w:t>
            </w:r>
            <w:r w:rsidRPr="00837D4A">
              <w:rPr>
                <w:rFonts w:ascii="Verdana" w:hAnsi="Verdana"/>
                <w:sz w:val="16"/>
                <w:szCs w:val="16"/>
                <w:lang w:val="en-US"/>
              </w:rPr>
              <w:t>Persons interested in obtaining a Marketing Permit must submit their application in accordance with the provisions of Articles 80 and 82, Section IV of the Law and 96 of this Regulation, using the format authorized by the Secretary or the Commission, as appropriate, and submit the following information:</w:t>
            </w:r>
          </w:p>
        </w:tc>
      </w:tr>
      <w:tr w:rsidR="009849AC" w:rsidRPr="002C0F16" w14:paraId="34A63367" w14:textId="178A7487" w:rsidTr="00F867DE">
        <w:tc>
          <w:tcPr>
            <w:tcW w:w="4711" w:type="dxa"/>
          </w:tcPr>
          <w:p w14:paraId="62F38E47"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lista de productos que se pretenden comercializar;</w:t>
            </w:r>
          </w:p>
        </w:tc>
        <w:tc>
          <w:tcPr>
            <w:tcW w:w="4649" w:type="dxa"/>
          </w:tcPr>
          <w:p w14:paraId="35A51943" w14:textId="413AFF45"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list of products to be marketed;</w:t>
            </w:r>
          </w:p>
        </w:tc>
      </w:tr>
      <w:tr w:rsidR="009849AC" w:rsidRPr="002C0F16" w14:paraId="3D35F2B6" w14:textId="19C6FE5A" w:rsidTr="00F867DE">
        <w:tc>
          <w:tcPr>
            <w:tcW w:w="4711" w:type="dxa"/>
          </w:tcPr>
          <w:p w14:paraId="670EC8B0"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Las cartas de intención o equivalente suscritas con cada uno de sus potenciales clientes, en las que se exprese el volumen ofertado de venta de Hidrocarburos, Petrolíferos o Petroquímicos;</w:t>
            </w:r>
          </w:p>
        </w:tc>
        <w:tc>
          <w:tcPr>
            <w:tcW w:w="4649" w:type="dxa"/>
          </w:tcPr>
          <w:p w14:paraId="02188277" w14:textId="4EE563AB"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letters of intent or equivalent signed with each of its potential clients, in which the offered sales volume of hydrocarbons, petroleum products or petrochemicals is expressed;</w:t>
            </w:r>
          </w:p>
        </w:tc>
      </w:tr>
      <w:tr w:rsidR="009849AC" w:rsidRPr="002C0F16" w14:paraId="5D753869" w14:textId="0151B273" w:rsidTr="00F867DE">
        <w:tc>
          <w:tcPr>
            <w:tcW w:w="4711" w:type="dxa"/>
          </w:tcPr>
          <w:p w14:paraId="59AD03BC"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 xml:space="preserve">Las cartas de intención o equivalente de compra suscritas con cada uno de sus potenciales proveedores, en las que se exprese el volumen ofertado </w:t>
            </w:r>
            <w:r w:rsidRPr="00837D4A">
              <w:rPr>
                <w:rFonts w:ascii="Verdana" w:hAnsi="Verdana"/>
                <w:sz w:val="16"/>
                <w:szCs w:val="16"/>
              </w:rPr>
              <w:lastRenderedPageBreak/>
              <w:t>de compra de Hidrocarburos, Petrolíferos o Petroquímicos;</w:t>
            </w:r>
          </w:p>
        </w:tc>
        <w:tc>
          <w:tcPr>
            <w:tcW w:w="4649" w:type="dxa"/>
          </w:tcPr>
          <w:p w14:paraId="3637A77E" w14:textId="244291DD"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lastRenderedPageBreak/>
              <w:t xml:space="preserve">III. </w:t>
            </w:r>
            <w:r w:rsidRPr="00837D4A">
              <w:rPr>
                <w:rFonts w:ascii="Verdana" w:hAnsi="Verdana"/>
                <w:b/>
                <w:sz w:val="16"/>
                <w:szCs w:val="16"/>
                <w:lang w:val="en-US"/>
              </w:rPr>
              <w:tab/>
            </w:r>
            <w:r w:rsidRPr="00837D4A">
              <w:rPr>
                <w:rFonts w:ascii="Verdana" w:hAnsi="Verdana"/>
                <w:sz w:val="16"/>
                <w:szCs w:val="16"/>
                <w:lang w:val="en-US"/>
              </w:rPr>
              <w:t>The letters of intent or equivalent purchase signed with each of its potential suppliers, in which the offered purchase volume of hydrocarbons, petroleum products or petrochemicals is expressed;</w:t>
            </w:r>
          </w:p>
        </w:tc>
      </w:tr>
      <w:tr w:rsidR="009849AC" w:rsidRPr="002C0F16" w14:paraId="6586D48E" w14:textId="102162B7" w:rsidTr="00F867DE">
        <w:tc>
          <w:tcPr>
            <w:tcW w:w="4711" w:type="dxa"/>
          </w:tcPr>
          <w:p w14:paraId="7501EA4F"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zona geográfica de influencia donde se desarrollan las actividades;</w:t>
            </w:r>
          </w:p>
        </w:tc>
        <w:tc>
          <w:tcPr>
            <w:tcW w:w="4649" w:type="dxa"/>
          </w:tcPr>
          <w:p w14:paraId="6BD4B3F6" w14:textId="00CEF988"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geographical area of influence where the activities are carried out;</w:t>
            </w:r>
          </w:p>
        </w:tc>
      </w:tr>
      <w:tr w:rsidR="009849AC" w:rsidRPr="002C0F16" w14:paraId="763F4774" w14:textId="5A08C805" w:rsidTr="00F867DE">
        <w:tc>
          <w:tcPr>
            <w:tcW w:w="4711" w:type="dxa"/>
          </w:tcPr>
          <w:p w14:paraId="00952F2B"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El análisis de la demanda proyectada que se pretende atender;</w:t>
            </w:r>
          </w:p>
        </w:tc>
        <w:tc>
          <w:tcPr>
            <w:tcW w:w="4649" w:type="dxa"/>
          </w:tcPr>
          <w:p w14:paraId="1DEE5823" w14:textId="1F4798A5"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analysis of the projected demand that is intended to be met;</w:t>
            </w:r>
          </w:p>
        </w:tc>
      </w:tr>
      <w:tr w:rsidR="009849AC" w:rsidRPr="002C0F16" w14:paraId="7FEBE4B3" w14:textId="5BB7F4E7" w:rsidTr="00F867DE">
        <w:tc>
          <w:tcPr>
            <w:tcW w:w="4711" w:type="dxa"/>
          </w:tcPr>
          <w:p w14:paraId="74A52E3E"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 carta de aceptación que establezca el volumen de reserva de capacidad en sus sistemas, por parte de la persona Permisionaria de Transporte, Distribución o Almacenamiento, de la cual requiere dichos servicios;</w:t>
            </w:r>
          </w:p>
        </w:tc>
        <w:tc>
          <w:tcPr>
            <w:tcW w:w="4649" w:type="dxa"/>
          </w:tcPr>
          <w:p w14:paraId="3B3B38FB" w14:textId="18B7BB4D"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The acceptance letter establishing the capacity reservation volume in its systems, by the Transportation, Distribution or Storage Permit Holder, from which said services are required;</w:t>
            </w:r>
          </w:p>
        </w:tc>
      </w:tr>
      <w:tr w:rsidR="009849AC" w:rsidRPr="002C0F16" w14:paraId="14949DC1" w14:textId="6A05C0B6" w:rsidTr="00F867DE">
        <w:tc>
          <w:tcPr>
            <w:tcW w:w="4711" w:type="dxa"/>
          </w:tcPr>
          <w:p w14:paraId="17B1A1B0"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El origen del producto que se pretende comercializar, para lo cual se debe señalar el nombre y número de permiso de la persona que se lo suministra;</w:t>
            </w:r>
          </w:p>
        </w:tc>
        <w:tc>
          <w:tcPr>
            <w:tcW w:w="4649" w:type="dxa"/>
          </w:tcPr>
          <w:p w14:paraId="79BEE38D" w14:textId="5B993148"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The origin of the product to be marketed, for which the name and permit number of the person supplying it must be indicated;</w:t>
            </w:r>
          </w:p>
        </w:tc>
      </w:tr>
      <w:tr w:rsidR="009849AC" w:rsidRPr="002C0F16" w14:paraId="2B23D2A4" w14:textId="2B2C8578" w:rsidTr="00F867DE">
        <w:tc>
          <w:tcPr>
            <w:tcW w:w="4711" w:type="dxa"/>
          </w:tcPr>
          <w:p w14:paraId="2474AD29"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Acreditar la forma en que se garantiza la continuidad y seguridad de suministro;</w:t>
            </w:r>
          </w:p>
        </w:tc>
        <w:tc>
          <w:tcPr>
            <w:tcW w:w="4649" w:type="dxa"/>
          </w:tcPr>
          <w:p w14:paraId="66092023" w14:textId="1F04711C"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Certify the manner in which continuity and security of supply is guaranteed;</w:t>
            </w:r>
          </w:p>
        </w:tc>
      </w:tr>
      <w:tr w:rsidR="009849AC" w:rsidRPr="002C0F16" w14:paraId="01CE9AEC" w14:textId="0722CCDD" w:rsidTr="00F867DE">
        <w:tc>
          <w:tcPr>
            <w:tcW w:w="4711" w:type="dxa"/>
          </w:tcPr>
          <w:p w14:paraId="1854A1C4"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IX.</w:t>
            </w:r>
            <w:r w:rsidRPr="00837D4A">
              <w:rPr>
                <w:rFonts w:ascii="Verdana" w:hAnsi="Verdana"/>
                <w:b/>
                <w:sz w:val="16"/>
                <w:szCs w:val="16"/>
              </w:rPr>
              <w:tab/>
            </w:r>
            <w:r w:rsidRPr="00837D4A">
              <w:rPr>
                <w:rFonts w:ascii="Verdana" w:hAnsi="Verdana"/>
                <w:sz w:val="16"/>
                <w:szCs w:val="16"/>
              </w:rPr>
              <w:t>Acreditar el domicilio señalado para oír y recibir notificaciones que se presente en la solicitud, el cual debe:</w:t>
            </w:r>
          </w:p>
        </w:tc>
        <w:tc>
          <w:tcPr>
            <w:tcW w:w="4649" w:type="dxa"/>
          </w:tcPr>
          <w:p w14:paraId="5D19EE36" w14:textId="08740828"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Proof of the address indicated for hearing and receiving notifications submitted in the application, which must:</w:t>
            </w:r>
          </w:p>
        </w:tc>
      </w:tr>
      <w:tr w:rsidR="009849AC" w:rsidRPr="002C0F16" w14:paraId="772ADE17" w14:textId="46D462BC" w:rsidTr="00F867DE">
        <w:tc>
          <w:tcPr>
            <w:tcW w:w="4711" w:type="dxa"/>
          </w:tcPr>
          <w:p w14:paraId="6E1A047B"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Coincidir íntegramente con el domicilio que presente en su solicitud, y</w:t>
            </w:r>
          </w:p>
        </w:tc>
        <w:tc>
          <w:tcPr>
            <w:tcW w:w="4649" w:type="dxa"/>
          </w:tcPr>
          <w:p w14:paraId="5CDCAD52" w14:textId="666996DC"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Completely match the address you provide in your application, and</w:t>
            </w:r>
          </w:p>
        </w:tc>
      </w:tr>
      <w:tr w:rsidR="009849AC" w:rsidRPr="002C0F16" w14:paraId="38374779" w14:textId="18F219A1" w:rsidTr="00F867DE">
        <w:tc>
          <w:tcPr>
            <w:tcW w:w="4711" w:type="dxa"/>
          </w:tcPr>
          <w:p w14:paraId="42970F6B"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Estar a nombre del solicitante o del representante legal o las personas autorizadas para oír o recibir notificaciones;</w:t>
            </w:r>
          </w:p>
        </w:tc>
        <w:tc>
          <w:tcPr>
            <w:tcW w:w="4649" w:type="dxa"/>
          </w:tcPr>
          <w:p w14:paraId="1ACDEC1D" w14:textId="7BCD55D4"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Be in the name of the applicant or the legal representative or the persons authorized to hear or receive notifications;</w:t>
            </w:r>
          </w:p>
        </w:tc>
      </w:tr>
      <w:tr w:rsidR="009849AC" w:rsidRPr="002C0F16" w14:paraId="7C159F8B" w14:textId="68E7D7F8" w:rsidTr="00F867DE">
        <w:tc>
          <w:tcPr>
            <w:tcW w:w="4711" w:type="dxa"/>
          </w:tcPr>
          <w:p w14:paraId="3BBDD15D"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X.</w:t>
            </w:r>
            <w:r w:rsidRPr="00837D4A">
              <w:rPr>
                <w:rFonts w:ascii="Verdana" w:hAnsi="Verdana"/>
                <w:b/>
                <w:sz w:val="16"/>
                <w:szCs w:val="16"/>
              </w:rPr>
              <w:tab/>
            </w:r>
            <w:r w:rsidRPr="00837D4A">
              <w:rPr>
                <w:rFonts w:ascii="Verdana" w:hAnsi="Verdana"/>
                <w:sz w:val="16"/>
                <w:szCs w:val="16"/>
              </w:rPr>
              <w:t>Modelo de contrato de Comercialización que se suscriba con sus clientes, y</w:t>
            </w:r>
          </w:p>
        </w:tc>
        <w:tc>
          <w:tcPr>
            <w:tcW w:w="4649" w:type="dxa"/>
          </w:tcPr>
          <w:p w14:paraId="21553138" w14:textId="0F62930A"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 </w:t>
            </w:r>
            <w:r w:rsidRPr="00837D4A">
              <w:rPr>
                <w:rFonts w:ascii="Verdana" w:hAnsi="Verdana"/>
                <w:b/>
                <w:sz w:val="16"/>
                <w:szCs w:val="16"/>
                <w:lang w:val="en-US"/>
              </w:rPr>
              <w:tab/>
            </w:r>
            <w:r w:rsidRPr="00837D4A">
              <w:rPr>
                <w:rFonts w:ascii="Verdana" w:hAnsi="Verdana"/>
                <w:sz w:val="16"/>
                <w:szCs w:val="16"/>
                <w:lang w:val="en-US"/>
              </w:rPr>
              <w:t>Model of Marketing contract that is signed with its clients, and</w:t>
            </w:r>
          </w:p>
        </w:tc>
      </w:tr>
      <w:tr w:rsidR="009849AC" w:rsidRPr="002C0F16" w14:paraId="7F5DAA52" w14:textId="5C4DE8F0" w:rsidTr="00F867DE">
        <w:tc>
          <w:tcPr>
            <w:tcW w:w="4711" w:type="dxa"/>
          </w:tcPr>
          <w:p w14:paraId="649691A1"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XI.</w:t>
            </w:r>
            <w:r w:rsidRPr="00837D4A">
              <w:rPr>
                <w:rFonts w:ascii="Verdana" w:hAnsi="Verdana"/>
                <w:b/>
                <w:sz w:val="16"/>
                <w:szCs w:val="16"/>
              </w:rPr>
              <w:tab/>
            </w:r>
            <w:r w:rsidRPr="00837D4A">
              <w:rPr>
                <w:rFonts w:ascii="Verdana" w:hAnsi="Verdana"/>
                <w:sz w:val="16"/>
                <w:szCs w:val="16"/>
              </w:rPr>
              <w:t>Cualquier otra información o documento que se prevea en la Normatividad que emitan la Secretaría o la Comisión, con el fin de contar con elementos suficientes para evaluar la solicitud y, en su caso, establecer los alcances del permiso respectivo.</w:t>
            </w:r>
          </w:p>
        </w:tc>
        <w:tc>
          <w:tcPr>
            <w:tcW w:w="4649" w:type="dxa"/>
          </w:tcPr>
          <w:p w14:paraId="33EE36D9" w14:textId="75C16064"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XI. </w:t>
            </w:r>
            <w:r w:rsidRPr="00837D4A">
              <w:rPr>
                <w:rFonts w:ascii="Verdana" w:hAnsi="Verdana"/>
                <w:b/>
                <w:sz w:val="16"/>
                <w:szCs w:val="16"/>
                <w:lang w:val="en-US"/>
              </w:rPr>
              <w:tab/>
            </w:r>
            <w:r w:rsidRPr="00837D4A">
              <w:rPr>
                <w:rFonts w:ascii="Verdana" w:hAnsi="Verdana"/>
                <w:sz w:val="16"/>
                <w:szCs w:val="16"/>
                <w:lang w:val="en-US"/>
              </w:rPr>
              <w:t>Any other information or document provided for in the Legislation issued by the Secretary or the Commission, in order to have sufficient elements to evaluate the application and, where appropriate, establish the scope of the respective permit.</w:t>
            </w:r>
          </w:p>
        </w:tc>
      </w:tr>
      <w:tr w:rsidR="009849AC" w:rsidRPr="002C0F16" w14:paraId="31927D9B" w14:textId="54BAFFBE" w:rsidTr="00F867DE">
        <w:tc>
          <w:tcPr>
            <w:tcW w:w="4711" w:type="dxa"/>
          </w:tcPr>
          <w:p w14:paraId="475C0E04"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En los casos que resulte procedente el otorgamiento del permiso, en la resolución correspondiente se debe condicionar la emisión de este a que, dentro de los quince días hábiles siguientes a la notificación de dicha resolución, se presenten los contratos formalizados que deriven de las cartas de intención o equivalentes presentadas en términos de las fracciones II, III y VI del presente artículo. Los contratos presentados deben amparar por lo menos la vigencia del permiso prevista en la resolución correspondiente.</w:t>
            </w:r>
          </w:p>
        </w:tc>
        <w:tc>
          <w:tcPr>
            <w:tcW w:w="4649" w:type="dxa"/>
          </w:tcPr>
          <w:p w14:paraId="24F1FEDB" w14:textId="146162B5"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In cases where the permit is granted, the corresponding resolution must condition its issuance on the submission, within fifteen business days following notification of said resolution, of formalized contracts derived from the letters of intent or equivalent submitted in accordance with Sections II, III, and VI of this article. The contracts submitted must cover at least the validity of the permit provided for in the corresponding resolution.</w:t>
            </w:r>
          </w:p>
        </w:tc>
      </w:tr>
      <w:tr w:rsidR="009849AC" w:rsidRPr="002C0F16" w14:paraId="244B30D2" w14:textId="72CAE16F" w:rsidTr="00F867DE">
        <w:tc>
          <w:tcPr>
            <w:tcW w:w="4711" w:type="dxa"/>
          </w:tcPr>
          <w:p w14:paraId="5BE96817"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 Secretaría o la Comisión deben emitir el permiso correspondiente dentro de un plazo máximo de quince días hábiles contados a partir de la recepción de los contratos conducentes.</w:t>
            </w:r>
          </w:p>
        </w:tc>
        <w:tc>
          <w:tcPr>
            <w:tcW w:w="4649" w:type="dxa"/>
          </w:tcPr>
          <w:p w14:paraId="6C376345" w14:textId="1B4C9BE6"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Secretary or the Commission must issue the corresponding permit within a maximum period of fifteen business days from the receipt of the relevant contracts.</w:t>
            </w:r>
          </w:p>
        </w:tc>
      </w:tr>
      <w:tr w:rsidR="009849AC" w:rsidRPr="002C0F16" w14:paraId="5B10545D" w14:textId="23E84953" w:rsidTr="00F867DE">
        <w:tc>
          <w:tcPr>
            <w:tcW w:w="4711" w:type="dxa"/>
          </w:tcPr>
          <w:p w14:paraId="739CA26E"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 omisión de la presentación de los contratos señalados por parte del interesado, dentro del plazo establecido, tiene como consecuencia la no emisión del permiso por parte de la Secretaría o la Comisión.</w:t>
            </w:r>
          </w:p>
        </w:tc>
        <w:tc>
          <w:tcPr>
            <w:tcW w:w="4649" w:type="dxa"/>
          </w:tcPr>
          <w:p w14:paraId="2151C75A" w14:textId="1F2A0AF1"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Failure by the interested party to submit the indicated contracts within the established deadline will result in the Secretary or the Commission not issuing the permit.</w:t>
            </w:r>
          </w:p>
        </w:tc>
      </w:tr>
      <w:tr w:rsidR="009849AC" w:rsidRPr="002C0F16" w14:paraId="2A042859" w14:textId="59598523" w:rsidTr="00F867DE">
        <w:tc>
          <w:tcPr>
            <w:tcW w:w="4711" w:type="dxa"/>
          </w:tcPr>
          <w:p w14:paraId="1C815E1C"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109.</w:t>
            </w:r>
            <w:r w:rsidRPr="00837D4A">
              <w:rPr>
                <w:rFonts w:ascii="Verdana" w:hAnsi="Verdana"/>
                <w:sz w:val="16"/>
                <w:szCs w:val="16"/>
              </w:rPr>
              <w:t xml:space="preserve"> El título de permiso de Comercialización debe contener expresamente las actividades y </w:t>
            </w:r>
            <w:r w:rsidRPr="00837D4A">
              <w:rPr>
                <w:rFonts w:ascii="Verdana" w:hAnsi="Verdana"/>
                <w:sz w:val="16"/>
                <w:szCs w:val="16"/>
              </w:rPr>
              <w:lastRenderedPageBreak/>
              <w:t>obligaciones que el titular del permiso debe cumplir conforme a lo previsto en la Ley, el presente reglamento y demás Normatividad aplicable.</w:t>
            </w:r>
          </w:p>
        </w:tc>
        <w:tc>
          <w:tcPr>
            <w:tcW w:w="4649" w:type="dxa"/>
          </w:tcPr>
          <w:p w14:paraId="5A556774" w14:textId="46DE783A"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109. </w:t>
            </w:r>
            <w:r w:rsidRPr="00837D4A">
              <w:rPr>
                <w:rFonts w:ascii="Verdana" w:hAnsi="Verdana"/>
                <w:sz w:val="16"/>
                <w:szCs w:val="16"/>
                <w:lang w:val="en-US"/>
              </w:rPr>
              <w:t xml:space="preserve">The Marketing Permit title must expressly contain the activities and obligations that the permit </w:t>
            </w:r>
            <w:r w:rsidRPr="00837D4A">
              <w:rPr>
                <w:rFonts w:ascii="Verdana" w:hAnsi="Verdana"/>
                <w:sz w:val="16"/>
                <w:szCs w:val="16"/>
                <w:lang w:val="en-US"/>
              </w:rPr>
              <w:lastRenderedPageBreak/>
              <w:t>holder must fulfill in accordance with the provisions of the Law, this regulation and other applicable legislation.</w:t>
            </w:r>
          </w:p>
        </w:tc>
      </w:tr>
      <w:tr w:rsidR="009849AC" w:rsidRPr="002C0F16" w14:paraId="39CDAC56" w14:textId="196EC1E2" w:rsidTr="00F867DE">
        <w:tc>
          <w:tcPr>
            <w:tcW w:w="4711" w:type="dxa"/>
          </w:tcPr>
          <w:p w14:paraId="7C8C9F71"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lastRenderedPageBreak/>
              <w:t>Los términos y condiciones del permiso de Comercialización de Hidrocarburos, Petrolíferos y Petroquímicos, además de las actividades y obligaciones señaladas en el artículo 82 de la Ley, deben contener las siguientes:</w:t>
            </w:r>
          </w:p>
        </w:tc>
        <w:tc>
          <w:tcPr>
            <w:tcW w:w="4649" w:type="dxa"/>
          </w:tcPr>
          <w:p w14:paraId="4910AE6D" w14:textId="0240DF15"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The terms and conditions of the Hydrocarbon, Petroleum, and Petrochemical Marketing Permit, in addition to the activities and obligations specified in Article 82 of the Law, must contain the following:</w:t>
            </w:r>
          </w:p>
        </w:tc>
      </w:tr>
      <w:tr w:rsidR="009849AC" w:rsidRPr="002C0F16" w14:paraId="50B3D18C" w14:textId="200075B3" w:rsidTr="00F867DE">
        <w:tc>
          <w:tcPr>
            <w:tcW w:w="4711" w:type="dxa"/>
          </w:tcPr>
          <w:p w14:paraId="22592381"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Informar y remitir los contratos mediante los cuales se gestionan los servicios de Transporte, Almacenamiento y Distribución por medio de Ductos, para la realización de sus actividades a la Secretaría o la Comisión, según corresponda, los cuales deben señalar expresamente su vigencia;</w:t>
            </w:r>
          </w:p>
        </w:tc>
        <w:tc>
          <w:tcPr>
            <w:tcW w:w="4649" w:type="dxa"/>
          </w:tcPr>
          <w:p w14:paraId="4CB00F4C" w14:textId="3AF78A77"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Inform and submit the contracts through which the transportation, storage and distribution services are managed through pipelines, for the performance of their activities to the Secretary or the Commission, as appropriate, which must expressly indicate their validity;</w:t>
            </w:r>
          </w:p>
        </w:tc>
      </w:tr>
      <w:tr w:rsidR="009849AC" w:rsidRPr="002C0F16" w14:paraId="08F8869E" w14:textId="1947A417" w:rsidTr="00F867DE">
        <w:tc>
          <w:tcPr>
            <w:tcW w:w="4711" w:type="dxa"/>
          </w:tcPr>
          <w:p w14:paraId="1D7ABEDB"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Informar a la Secretaría o la Comisión, de manera inmediata, ante cualquier circunstancia que impida el suministro de los productos autorizados en los términos que para el efecto se emitan o conforme se establezca en el permiso;</w:t>
            </w:r>
          </w:p>
        </w:tc>
        <w:tc>
          <w:tcPr>
            <w:tcW w:w="4649" w:type="dxa"/>
          </w:tcPr>
          <w:p w14:paraId="6C6EB2C9" w14:textId="566F53FD"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Immediately inform the Secretary or the Commission of any circumstance that prevents the supply of authorized products under the terms issued for this purpose or as established in the permit;</w:t>
            </w:r>
          </w:p>
        </w:tc>
      </w:tr>
      <w:tr w:rsidR="009849AC" w:rsidRPr="002C0F16" w14:paraId="5E1BF464" w14:textId="6DCDBE34" w:rsidTr="00F867DE">
        <w:tc>
          <w:tcPr>
            <w:tcW w:w="4711" w:type="dxa"/>
          </w:tcPr>
          <w:p w14:paraId="41511192"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Remitir los contratos celebrados que acrediten el inventario de los productos a comercializar, así como demás información que acredite el cumplimiento del Almacenamiento mínimo determinado por la Secretaría mediante la Normatividad que para tal efecto emita;</w:t>
            </w:r>
          </w:p>
        </w:tc>
        <w:tc>
          <w:tcPr>
            <w:tcW w:w="4649" w:type="dxa"/>
          </w:tcPr>
          <w:p w14:paraId="0906D465" w14:textId="038E7325"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Submit the contracts executed that prove the inventory of the products to be marketed, as well as other information that proves compliance with the minimum storage determined by the Secretary through the Regulation issued for this purpose;</w:t>
            </w:r>
          </w:p>
        </w:tc>
      </w:tr>
      <w:tr w:rsidR="009849AC" w:rsidRPr="002C0F16" w14:paraId="29BCCD47" w14:textId="660ED1C6" w:rsidTr="00F867DE">
        <w:tc>
          <w:tcPr>
            <w:tcW w:w="4711" w:type="dxa"/>
          </w:tcPr>
          <w:p w14:paraId="717B7ECF"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Remitir los contratos celebrados con proveedores que acrediten el suministro para confirmar la procedencia lícita del producto a comercializar;</w:t>
            </w:r>
          </w:p>
        </w:tc>
        <w:tc>
          <w:tcPr>
            <w:tcW w:w="4649" w:type="dxa"/>
          </w:tcPr>
          <w:p w14:paraId="619283C7" w14:textId="7D15E301"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Submit contracts signed with suppliers that certify the supply to confirm the legal origin of the product to be marketed;</w:t>
            </w:r>
          </w:p>
        </w:tc>
      </w:tr>
      <w:tr w:rsidR="009849AC" w:rsidRPr="002C0F16" w14:paraId="06F4A304" w14:textId="4CD643E1" w:rsidTr="00F867DE">
        <w:tc>
          <w:tcPr>
            <w:tcW w:w="4711" w:type="dxa"/>
          </w:tcPr>
          <w:p w14:paraId="4B1BDCDB"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Remitir las actualizaciones de la relación de proveedores y clientes inicialmente declarados, así como acreditar la relación comercial con los mismos en los términos que la Secretaría y la Comisión determinen;</w:t>
            </w:r>
          </w:p>
        </w:tc>
        <w:tc>
          <w:tcPr>
            <w:tcW w:w="4649" w:type="dxa"/>
          </w:tcPr>
          <w:p w14:paraId="52F6FFBB" w14:textId="69DD8D5E"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Submit updates to the list of suppliers and clients initially declared, as well as prove the commercial relationship with them in the terms that the Secretary and the Commission determine;</w:t>
            </w:r>
          </w:p>
        </w:tc>
      </w:tr>
      <w:tr w:rsidR="009849AC" w:rsidRPr="002C0F16" w14:paraId="1761D704" w14:textId="68BD7F79" w:rsidTr="00F867DE">
        <w:tc>
          <w:tcPr>
            <w:tcW w:w="4711" w:type="dxa"/>
          </w:tcPr>
          <w:p w14:paraId="721E81AE"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Acreditar, de manera trimestral, las operaciones de compraventa que realiza, así como las inherentes a los servicios prestados y contratados con proveedores y clientes, mediante la remisión de los comprobantes fiscales correspondientes y los demás documentos que la Secretaría y la Comisión determinen en la Normatividad aplicable;</w:t>
            </w:r>
          </w:p>
        </w:tc>
        <w:tc>
          <w:tcPr>
            <w:tcW w:w="4649" w:type="dxa"/>
          </w:tcPr>
          <w:p w14:paraId="48D03D4B" w14:textId="0E926407"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Certify, on a quarterly basis, the purchase and sale transactions it carries out, as well as those inherent to the services provided and contracted with suppliers and clients, by submitting the corresponding tax receipts and other documents that the Secretary and the Commission determine in the applicable legislation;</w:t>
            </w:r>
          </w:p>
        </w:tc>
      </w:tr>
      <w:tr w:rsidR="009849AC" w:rsidRPr="002C0F16" w14:paraId="6A10592A" w14:textId="77CC3524" w:rsidTr="00F867DE">
        <w:tc>
          <w:tcPr>
            <w:tcW w:w="4711" w:type="dxa"/>
          </w:tcPr>
          <w:p w14:paraId="1F827006"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Presentar la información requerida por la Secretaría o la Comisión, mediante los formatos y en los términos en que sea solicitada, conforme a lo señalado en el artículo 76, segundo párrafo de la Ley y el artículo 202 de este reglamento;</w:t>
            </w:r>
          </w:p>
        </w:tc>
        <w:tc>
          <w:tcPr>
            <w:tcW w:w="4649" w:type="dxa"/>
          </w:tcPr>
          <w:p w14:paraId="701FB08B" w14:textId="4EB36023"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Submit the information required by the Secretary or the Commission, using the formats and in the terms in which it is requested, in accordance with the provisions of Article 76, second paragraph of the Law and Article 202 of this regulation;</w:t>
            </w:r>
          </w:p>
        </w:tc>
      </w:tr>
      <w:tr w:rsidR="009849AC" w:rsidRPr="002C0F16" w14:paraId="0A470927" w14:textId="0AC4B81D" w:rsidTr="00F867DE">
        <w:tc>
          <w:tcPr>
            <w:tcW w:w="4711" w:type="dxa"/>
          </w:tcPr>
          <w:p w14:paraId="103988F0" w14:textId="6B68F0DA"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Obtener la autorización de participación cruzada conforme a lo dispuesto en el artículo 118 de la Ley, cuando directa o indirectamente, se tenga la propiedad sobre acciones o capital social de:</w:t>
            </w:r>
          </w:p>
        </w:tc>
        <w:tc>
          <w:tcPr>
            <w:tcW w:w="4649" w:type="dxa"/>
          </w:tcPr>
          <w:p w14:paraId="37D7EE80" w14:textId="40510D2A"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Obtain authorization for cross-shareholding in accordance with the provisions of Article 118 of the Law, when directly or indirectly, shares or share capital are owned by:</w:t>
            </w:r>
          </w:p>
        </w:tc>
      </w:tr>
      <w:tr w:rsidR="009849AC" w:rsidRPr="002C0F16" w14:paraId="6A512E3C" w14:textId="71E586A7" w:rsidTr="00F867DE">
        <w:tc>
          <w:tcPr>
            <w:tcW w:w="4711" w:type="dxa"/>
          </w:tcPr>
          <w:p w14:paraId="6236C5DA"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 xml:space="preserve">Personas Usuarias Finales, productores o comercializadores de Hidrocarburos, Petrolíferos o Petroquímicos que utilicen los servicios de Transporte </w:t>
            </w:r>
            <w:r w:rsidRPr="00837D4A">
              <w:rPr>
                <w:rFonts w:ascii="Verdana" w:hAnsi="Verdana"/>
                <w:sz w:val="16"/>
                <w:szCs w:val="16"/>
              </w:rPr>
              <w:lastRenderedPageBreak/>
              <w:t>por medio de Ductos o Almacenamiento sujetos a Acceso Abierto No Indebidamente Discriminatorio, y</w:t>
            </w:r>
          </w:p>
        </w:tc>
        <w:tc>
          <w:tcPr>
            <w:tcW w:w="4649" w:type="dxa"/>
          </w:tcPr>
          <w:p w14:paraId="0D6BB2ED" w14:textId="53C1BF9B"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lastRenderedPageBreak/>
              <w:t xml:space="preserve">a) </w:t>
            </w:r>
            <w:r w:rsidRPr="00837D4A">
              <w:rPr>
                <w:rFonts w:ascii="Verdana" w:hAnsi="Verdana"/>
                <w:b/>
                <w:sz w:val="16"/>
                <w:szCs w:val="16"/>
                <w:lang w:val="en-US"/>
              </w:rPr>
              <w:tab/>
            </w:r>
            <w:r w:rsidRPr="00837D4A">
              <w:rPr>
                <w:rFonts w:ascii="Verdana" w:hAnsi="Verdana"/>
                <w:sz w:val="16"/>
                <w:szCs w:val="16"/>
                <w:lang w:val="en-US"/>
              </w:rPr>
              <w:t xml:space="preserve">End Users, producers or marketers of hydrocarbons, petroleum products or petrochemicals who use transportation services through pipelines or </w:t>
            </w:r>
            <w:r w:rsidRPr="00837D4A">
              <w:rPr>
                <w:rFonts w:ascii="Verdana" w:hAnsi="Verdana"/>
                <w:sz w:val="16"/>
                <w:szCs w:val="16"/>
                <w:lang w:val="en-US"/>
              </w:rPr>
              <w:lastRenderedPageBreak/>
              <w:t>storage subject to non-unduly discriminatory open access, and</w:t>
            </w:r>
          </w:p>
        </w:tc>
      </w:tr>
      <w:tr w:rsidR="009849AC" w:rsidRPr="002C0F16" w14:paraId="6D52199F" w14:textId="77BBE41E" w:rsidTr="00F867DE">
        <w:tc>
          <w:tcPr>
            <w:tcW w:w="4711" w:type="dxa"/>
          </w:tcPr>
          <w:p w14:paraId="47679F2B"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lastRenderedPageBreak/>
              <w:t>b)</w:t>
            </w:r>
            <w:r w:rsidRPr="00837D4A">
              <w:rPr>
                <w:rFonts w:ascii="Verdana" w:hAnsi="Verdana"/>
                <w:b/>
                <w:sz w:val="16"/>
                <w:szCs w:val="16"/>
              </w:rPr>
              <w:tab/>
            </w:r>
            <w:r w:rsidRPr="00837D4A">
              <w:rPr>
                <w:rFonts w:ascii="Verdana" w:hAnsi="Verdana"/>
                <w:sz w:val="16"/>
                <w:szCs w:val="16"/>
              </w:rPr>
              <w:t>Personas Permisionarias que presten los servicios de Transporte por medio de Ductos o Almacenamiento de Hidrocarburos, Petrolíferos y Petroquímicos sujetos a Acceso Abierto No Indebidamente Discriminatorio;</w:t>
            </w:r>
          </w:p>
        </w:tc>
        <w:tc>
          <w:tcPr>
            <w:tcW w:w="4649" w:type="dxa"/>
          </w:tcPr>
          <w:p w14:paraId="7E2B51AC" w14:textId="4F8EF116"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Permit holders who provide transportation services through pipelines or storage of hydrocarbons, petroleum products and petrochemicals subject to open access that is not unduly discriminatory;</w:t>
            </w:r>
          </w:p>
        </w:tc>
      </w:tr>
      <w:tr w:rsidR="009849AC" w:rsidRPr="002C0F16" w14:paraId="06F4A74F" w14:textId="5EE94093" w:rsidTr="00F867DE">
        <w:tc>
          <w:tcPr>
            <w:tcW w:w="4711" w:type="dxa"/>
          </w:tcPr>
          <w:p w14:paraId="01ADE346"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IX.</w:t>
            </w:r>
            <w:r w:rsidRPr="00837D4A">
              <w:rPr>
                <w:rFonts w:ascii="Verdana" w:hAnsi="Verdana"/>
                <w:b/>
                <w:sz w:val="16"/>
                <w:szCs w:val="16"/>
              </w:rPr>
              <w:tab/>
            </w:r>
            <w:r w:rsidRPr="00837D4A">
              <w:rPr>
                <w:rFonts w:ascii="Verdana" w:hAnsi="Verdana"/>
                <w:sz w:val="16"/>
                <w:szCs w:val="16"/>
              </w:rPr>
              <w:t>Informar anualmente el desglose de los principales componentes de sus costos unitarios asociados a la actividad de Comercialización, que debe incluir la adquisición del producto, los servicios logísticos contratados, el Almacenamiento, el Transporte y los márgenes operativos estimados por contrato celebrado;</w:t>
            </w:r>
          </w:p>
        </w:tc>
        <w:tc>
          <w:tcPr>
            <w:tcW w:w="4649" w:type="dxa"/>
          </w:tcPr>
          <w:p w14:paraId="355F2271" w14:textId="39C3CA22"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Report annually the breakdown of the main components of its unit costs associated with the Marketing activity, which must include the acquisition of the product, contracted logistics services, Storage, Transportation and the estimated operating margins per contract entered into;</w:t>
            </w:r>
          </w:p>
        </w:tc>
      </w:tr>
      <w:tr w:rsidR="009849AC" w:rsidRPr="002C0F16" w14:paraId="47C771E6" w14:textId="1DB91721" w:rsidTr="00F867DE">
        <w:tc>
          <w:tcPr>
            <w:tcW w:w="4711" w:type="dxa"/>
          </w:tcPr>
          <w:p w14:paraId="72C341FD"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X.</w:t>
            </w:r>
            <w:r w:rsidRPr="00837D4A">
              <w:rPr>
                <w:rFonts w:ascii="Verdana" w:hAnsi="Verdana"/>
                <w:b/>
                <w:sz w:val="16"/>
                <w:szCs w:val="16"/>
              </w:rPr>
              <w:tab/>
            </w:r>
            <w:r w:rsidRPr="00837D4A">
              <w:rPr>
                <w:rFonts w:ascii="Verdana" w:hAnsi="Verdana"/>
                <w:sz w:val="16"/>
                <w:szCs w:val="16"/>
              </w:rPr>
              <w:t>Otorgar y mantener vigentes las garantías y los seguros correspondientes;</w:t>
            </w:r>
          </w:p>
        </w:tc>
        <w:tc>
          <w:tcPr>
            <w:tcW w:w="4649" w:type="dxa"/>
          </w:tcPr>
          <w:p w14:paraId="60B90ACD" w14:textId="272E5ED5"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X. </w:t>
            </w:r>
            <w:r w:rsidRPr="00837D4A">
              <w:rPr>
                <w:rFonts w:ascii="Verdana" w:hAnsi="Verdana"/>
                <w:b/>
                <w:sz w:val="16"/>
                <w:szCs w:val="16"/>
                <w:lang w:val="en-US"/>
              </w:rPr>
              <w:tab/>
            </w:r>
            <w:r w:rsidRPr="00837D4A">
              <w:rPr>
                <w:rFonts w:ascii="Verdana" w:hAnsi="Verdana"/>
                <w:sz w:val="16"/>
                <w:szCs w:val="16"/>
                <w:lang w:val="en-US"/>
              </w:rPr>
              <w:t>Grant and maintain the corresponding guarantees and insurance;</w:t>
            </w:r>
          </w:p>
        </w:tc>
      </w:tr>
      <w:tr w:rsidR="009849AC" w:rsidRPr="002C0F16" w14:paraId="6A45DB23" w14:textId="35E0550E" w:rsidTr="00F867DE">
        <w:tc>
          <w:tcPr>
            <w:tcW w:w="4711" w:type="dxa"/>
          </w:tcPr>
          <w:p w14:paraId="49695DF2"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XI.</w:t>
            </w:r>
            <w:r w:rsidRPr="00837D4A">
              <w:rPr>
                <w:rFonts w:ascii="Verdana" w:hAnsi="Verdana"/>
                <w:b/>
                <w:sz w:val="16"/>
                <w:szCs w:val="16"/>
              </w:rPr>
              <w:tab/>
            </w:r>
            <w:r w:rsidRPr="00837D4A">
              <w:rPr>
                <w:rFonts w:ascii="Verdana" w:hAnsi="Verdana"/>
                <w:sz w:val="16"/>
                <w:szCs w:val="16"/>
              </w:rPr>
              <w:t>Cumplir de forma continua con el pago de contribuciones y aprovechamientos por los servicios de supervisión de los permisos;</w:t>
            </w:r>
          </w:p>
        </w:tc>
        <w:tc>
          <w:tcPr>
            <w:tcW w:w="4649" w:type="dxa"/>
          </w:tcPr>
          <w:p w14:paraId="7A2BDA37" w14:textId="38F8DB1C"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XI. </w:t>
            </w:r>
            <w:r w:rsidRPr="00837D4A">
              <w:rPr>
                <w:rFonts w:ascii="Verdana" w:hAnsi="Verdana"/>
                <w:b/>
                <w:sz w:val="16"/>
                <w:szCs w:val="16"/>
                <w:lang w:val="en-US"/>
              </w:rPr>
              <w:tab/>
            </w:r>
            <w:r w:rsidRPr="00837D4A">
              <w:rPr>
                <w:rFonts w:ascii="Verdana" w:hAnsi="Verdana"/>
                <w:sz w:val="16"/>
                <w:szCs w:val="16"/>
                <w:lang w:val="en-US"/>
              </w:rPr>
              <w:t>Continuously comply with the payment of contributions and benefits for the permit supervision services;</w:t>
            </w:r>
          </w:p>
        </w:tc>
      </w:tr>
      <w:tr w:rsidR="009849AC" w:rsidRPr="002C0F16" w14:paraId="0C701A5C" w14:textId="7F5F71E7" w:rsidTr="00F867DE">
        <w:tc>
          <w:tcPr>
            <w:tcW w:w="4711" w:type="dxa"/>
          </w:tcPr>
          <w:p w14:paraId="14F4BFD5"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XII.</w:t>
            </w:r>
            <w:r w:rsidRPr="00837D4A">
              <w:rPr>
                <w:rFonts w:ascii="Verdana" w:hAnsi="Verdana"/>
                <w:b/>
                <w:sz w:val="16"/>
                <w:szCs w:val="16"/>
              </w:rPr>
              <w:tab/>
            </w:r>
            <w:r w:rsidRPr="00837D4A">
              <w:rPr>
                <w:rFonts w:ascii="Verdana" w:hAnsi="Verdana"/>
                <w:sz w:val="16"/>
                <w:szCs w:val="16"/>
              </w:rPr>
              <w:t>En el caso de Comercialización de Petrolíferos, únicamente se deben comercializar aquellos con marcas comerciales previamente registradas ante la Comisión, con excepción del Gas Licuado de Petróleo;</w:t>
            </w:r>
          </w:p>
        </w:tc>
        <w:tc>
          <w:tcPr>
            <w:tcW w:w="4649" w:type="dxa"/>
          </w:tcPr>
          <w:p w14:paraId="0BA1A9ED" w14:textId="78390D45"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XII. </w:t>
            </w:r>
            <w:r w:rsidRPr="00837D4A">
              <w:rPr>
                <w:rFonts w:ascii="Verdana" w:hAnsi="Verdana"/>
                <w:b/>
                <w:sz w:val="16"/>
                <w:szCs w:val="16"/>
                <w:lang w:val="en-US"/>
              </w:rPr>
              <w:tab/>
            </w:r>
            <w:r w:rsidRPr="00837D4A">
              <w:rPr>
                <w:rFonts w:ascii="Verdana" w:hAnsi="Verdana"/>
                <w:sz w:val="16"/>
                <w:szCs w:val="16"/>
                <w:lang w:val="en-US"/>
              </w:rPr>
              <w:t>In the case of marketing of petroleum products, only those with trademarks previously registered with the Commission should be marketed, with the exception of Liquefied Petroleum Gas;</w:t>
            </w:r>
          </w:p>
        </w:tc>
      </w:tr>
      <w:tr w:rsidR="009849AC" w:rsidRPr="002C0F16" w14:paraId="507AF312" w14:textId="54009814" w:rsidTr="00F867DE">
        <w:tc>
          <w:tcPr>
            <w:tcW w:w="4711" w:type="dxa"/>
          </w:tcPr>
          <w:p w14:paraId="43AFF5F1"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XIII.</w:t>
            </w:r>
            <w:r w:rsidRPr="00837D4A">
              <w:rPr>
                <w:rFonts w:ascii="Verdana" w:hAnsi="Verdana"/>
                <w:b/>
                <w:sz w:val="16"/>
                <w:szCs w:val="16"/>
              </w:rPr>
              <w:tab/>
            </w:r>
            <w:r w:rsidRPr="00837D4A">
              <w:rPr>
                <w:rFonts w:ascii="Verdana" w:hAnsi="Verdana"/>
                <w:sz w:val="16"/>
                <w:szCs w:val="16"/>
              </w:rPr>
              <w:t>Cumplir con el límite de capacidad a contratar en los Ductos de Distribución, Transporte o instalaciones de Almacenamiento, que establezca la Secretaría o la Comisión según corresponda;</w:t>
            </w:r>
          </w:p>
        </w:tc>
        <w:tc>
          <w:tcPr>
            <w:tcW w:w="4649" w:type="dxa"/>
          </w:tcPr>
          <w:p w14:paraId="35D70CD6" w14:textId="2D7EEBE3"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XIII. </w:t>
            </w:r>
            <w:r w:rsidRPr="00837D4A">
              <w:rPr>
                <w:rFonts w:ascii="Verdana" w:hAnsi="Verdana"/>
                <w:b/>
                <w:sz w:val="16"/>
                <w:szCs w:val="16"/>
                <w:lang w:val="en-US"/>
              </w:rPr>
              <w:tab/>
            </w:r>
            <w:r w:rsidRPr="00837D4A">
              <w:rPr>
                <w:rFonts w:ascii="Verdana" w:hAnsi="Verdana"/>
                <w:sz w:val="16"/>
                <w:szCs w:val="16"/>
                <w:lang w:val="en-US"/>
              </w:rPr>
              <w:t>Comply with the capacity limit to be contracted in the distribution, transportation or storage facilities pipelines, established by the Secretary or the Commission as appropriate;</w:t>
            </w:r>
          </w:p>
        </w:tc>
      </w:tr>
      <w:tr w:rsidR="009849AC" w:rsidRPr="002C0F16" w14:paraId="00D80928" w14:textId="161431DB" w:rsidTr="00F867DE">
        <w:tc>
          <w:tcPr>
            <w:tcW w:w="4711" w:type="dxa"/>
          </w:tcPr>
          <w:p w14:paraId="17CBCF2F"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b/>
                <w:sz w:val="16"/>
                <w:szCs w:val="16"/>
              </w:rPr>
              <w:t>XIV.</w:t>
            </w:r>
            <w:r w:rsidRPr="00837D4A">
              <w:rPr>
                <w:rFonts w:ascii="Verdana" w:hAnsi="Verdana"/>
                <w:b/>
                <w:sz w:val="16"/>
                <w:szCs w:val="16"/>
              </w:rPr>
              <w:tab/>
            </w:r>
            <w:r w:rsidRPr="00837D4A">
              <w:rPr>
                <w:rFonts w:ascii="Verdana" w:hAnsi="Verdana"/>
                <w:sz w:val="16"/>
                <w:szCs w:val="16"/>
              </w:rPr>
              <w:t>Informar semanalmente a la Secretaría o a la Comisión, según corresponda, si ha prestado servicio o intermediación de servicios de valor agregado en beneficio de las personas Usuarias o Usuarias Finales, por separado o de manera conjunta con otros servicios no regulados, y debe identificar cada uno de dichos servicios;</w:t>
            </w:r>
          </w:p>
        </w:tc>
        <w:tc>
          <w:tcPr>
            <w:tcW w:w="4649" w:type="dxa"/>
          </w:tcPr>
          <w:p w14:paraId="1FC9564F" w14:textId="32428CE7" w:rsidR="009849AC" w:rsidRPr="00837D4A" w:rsidRDefault="009849AC" w:rsidP="009849AC">
            <w:pPr>
              <w:pStyle w:val="Texto"/>
              <w:spacing w:after="92"/>
              <w:ind w:firstLine="0"/>
              <w:rPr>
                <w:rFonts w:ascii="Verdana" w:hAnsi="Verdana"/>
                <w:b/>
                <w:sz w:val="16"/>
                <w:szCs w:val="16"/>
                <w:lang w:val="en-US"/>
              </w:rPr>
            </w:pPr>
            <w:r w:rsidRPr="00837D4A">
              <w:rPr>
                <w:rFonts w:ascii="Verdana" w:hAnsi="Verdana"/>
                <w:b/>
                <w:sz w:val="16"/>
                <w:szCs w:val="16"/>
                <w:lang w:val="en-US"/>
              </w:rPr>
              <w:t xml:space="preserve">XIV. </w:t>
            </w:r>
            <w:r w:rsidRPr="00837D4A">
              <w:rPr>
                <w:rFonts w:ascii="Verdana" w:hAnsi="Verdana"/>
                <w:b/>
                <w:sz w:val="16"/>
                <w:szCs w:val="16"/>
                <w:lang w:val="en-US"/>
              </w:rPr>
              <w:tab/>
            </w:r>
            <w:r w:rsidRPr="00837D4A">
              <w:rPr>
                <w:rFonts w:ascii="Verdana" w:hAnsi="Verdana"/>
                <w:sz w:val="16"/>
                <w:szCs w:val="16"/>
                <w:lang w:val="en-US"/>
              </w:rPr>
              <w:t>Report weekly to the Secretary or the Commission, as appropriate, whether it has provided value-added services or intermediation for the benefit of Users or End Users, separately or jointly with other non-regulated services, and must identify each of said services;</w:t>
            </w:r>
          </w:p>
        </w:tc>
      </w:tr>
      <w:tr w:rsidR="009849AC" w:rsidRPr="002C0F16" w14:paraId="168D9925" w14:textId="0A00CD93" w:rsidTr="00F867DE">
        <w:tc>
          <w:tcPr>
            <w:tcW w:w="4711" w:type="dxa"/>
          </w:tcPr>
          <w:p w14:paraId="7AE3F727"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b/>
                <w:sz w:val="16"/>
                <w:szCs w:val="16"/>
              </w:rPr>
              <w:t>XV.</w:t>
            </w:r>
            <w:r w:rsidRPr="00837D4A">
              <w:rPr>
                <w:rFonts w:ascii="Verdana" w:hAnsi="Verdana"/>
                <w:b/>
                <w:sz w:val="16"/>
                <w:szCs w:val="16"/>
              </w:rPr>
              <w:tab/>
            </w:r>
            <w:r w:rsidRPr="00837D4A">
              <w:rPr>
                <w:rFonts w:ascii="Verdana" w:hAnsi="Verdana"/>
                <w:sz w:val="16"/>
                <w:szCs w:val="16"/>
              </w:rPr>
              <w:t>Mantener actualizado, ante la Secretaría o la Comisión, según corresponda, el domicilio y dirección de correo electrónico para oír y recibir notificaciones;</w:t>
            </w:r>
          </w:p>
        </w:tc>
        <w:tc>
          <w:tcPr>
            <w:tcW w:w="4649" w:type="dxa"/>
          </w:tcPr>
          <w:p w14:paraId="5BDB2EB5" w14:textId="3165DE14" w:rsidR="009849AC" w:rsidRPr="00837D4A" w:rsidRDefault="009849AC" w:rsidP="009849AC">
            <w:pPr>
              <w:pStyle w:val="Texto"/>
              <w:spacing w:after="92"/>
              <w:ind w:firstLine="0"/>
              <w:rPr>
                <w:rFonts w:ascii="Verdana" w:hAnsi="Verdana"/>
                <w:b/>
                <w:sz w:val="16"/>
                <w:szCs w:val="16"/>
                <w:lang w:val="en-US"/>
              </w:rPr>
            </w:pPr>
            <w:r w:rsidRPr="00837D4A">
              <w:rPr>
                <w:rFonts w:ascii="Verdana" w:hAnsi="Verdana"/>
                <w:b/>
                <w:sz w:val="16"/>
                <w:szCs w:val="16"/>
                <w:lang w:val="en-US"/>
              </w:rPr>
              <w:t xml:space="preserve">XV. </w:t>
            </w:r>
            <w:r w:rsidRPr="00837D4A">
              <w:rPr>
                <w:rFonts w:ascii="Verdana" w:hAnsi="Verdana"/>
                <w:b/>
                <w:sz w:val="16"/>
                <w:szCs w:val="16"/>
                <w:lang w:val="en-US"/>
              </w:rPr>
              <w:tab/>
            </w:r>
            <w:r w:rsidRPr="00837D4A">
              <w:rPr>
                <w:rFonts w:ascii="Verdana" w:hAnsi="Verdana"/>
                <w:sz w:val="16"/>
                <w:szCs w:val="16"/>
                <w:lang w:val="en-US"/>
              </w:rPr>
              <w:t>Maintain the address and email address updated with the Secretary or the Commission, as appropriate, to hear and receive notifications;</w:t>
            </w:r>
          </w:p>
        </w:tc>
      </w:tr>
      <w:tr w:rsidR="009849AC" w:rsidRPr="002C0F16" w14:paraId="0C93EB22" w14:textId="029BB956" w:rsidTr="00F867DE">
        <w:tc>
          <w:tcPr>
            <w:tcW w:w="4711" w:type="dxa"/>
          </w:tcPr>
          <w:p w14:paraId="5138D6C4"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b/>
                <w:sz w:val="16"/>
                <w:szCs w:val="16"/>
              </w:rPr>
              <w:t>XVI.</w:t>
            </w:r>
            <w:r w:rsidRPr="00837D4A">
              <w:rPr>
                <w:rFonts w:ascii="Verdana" w:hAnsi="Verdana"/>
                <w:b/>
                <w:sz w:val="16"/>
                <w:szCs w:val="16"/>
              </w:rPr>
              <w:tab/>
            </w:r>
            <w:r w:rsidRPr="00837D4A">
              <w:rPr>
                <w:rFonts w:ascii="Verdana" w:hAnsi="Verdana"/>
                <w:sz w:val="16"/>
                <w:szCs w:val="16"/>
              </w:rPr>
              <w:t>Informar cada seis meses a la Secretaría o la Comisión, según corresponda, que el domicilio acreditado permanece sin cambios, o en su caso, informar la actualización de su domicilio dentro de los cinco días hábiles posteriores a la modificación, mediante la documentación que lo acredite, y</w:t>
            </w:r>
          </w:p>
        </w:tc>
        <w:tc>
          <w:tcPr>
            <w:tcW w:w="4649" w:type="dxa"/>
          </w:tcPr>
          <w:p w14:paraId="2B21DB14" w14:textId="79B91E1C" w:rsidR="009849AC" w:rsidRPr="00837D4A" w:rsidRDefault="009849AC" w:rsidP="009849AC">
            <w:pPr>
              <w:pStyle w:val="Texto"/>
              <w:spacing w:after="92"/>
              <w:ind w:firstLine="0"/>
              <w:rPr>
                <w:rFonts w:ascii="Verdana" w:hAnsi="Verdana"/>
                <w:b/>
                <w:sz w:val="16"/>
                <w:szCs w:val="16"/>
                <w:lang w:val="en-US"/>
              </w:rPr>
            </w:pPr>
            <w:r w:rsidRPr="00837D4A">
              <w:rPr>
                <w:rFonts w:ascii="Verdana" w:hAnsi="Verdana"/>
                <w:b/>
                <w:sz w:val="16"/>
                <w:szCs w:val="16"/>
                <w:lang w:val="en-US"/>
              </w:rPr>
              <w:t xml:space="preserve">XVI. </w:t>
            </w:r>
            <w:r w:rsidRPr="00837D4A">
              <w:rPr>
                <w:rFonts w:ascii="Verdana" w:hAnsi="Verdana"/>
                <w:b/>
                <w:sz w:val="16"/>
                <w:szCs w:val="16"/>
                <w:lang w:val="en-US"/>
              </w:rPr>
              <w:tab/>
            </w:r>
            <w:r w:rsidRPr="00837D4A">
              <w:rPr>
                <w:rFonts w:ascii="Verdana" w:hAnsi="Verdana"/>
                <w:sz w:val="16"/>
                <w:szCs w:val="16"/>
                <w:lang w:val="en-US"/>
              </w:rPr>
              <w:t>Inform the Secretary or the Commission, as appropriate, every six months that the accredited address remains unchanged, or, where appropriate, inform of the update of its address within five business days after the modification, by means of the documentation that proves it, and</w:t>
            </w:r>
          </w:p>
        </w:tc>
      </w:tr>
      <w:tr w:rsidR="009849AC" w:rsidRPr="002C0F16" w14:paraId="7DDDDEE4" w14:textId="4CDE6901" w:rsidTr="00F867DE">
        <w:tc>
          <w:tcPr>
            <w:tcW w:w="4711" w:type="dxa"/>
          </w:tcPr>
          <w:p w14:paraId="21B0273C" w14:textId="77777777" w:rsidR="009849AC" w:rsidRPr="00837D4A" w:rsidRDefault="009849AC" w:rsidP="009849AC">
            <w:pPr>
              <w:pStyle w:val="Texto"/>
              <w:spacing w:after="92"/>
              <w:ind w:firstLine="0"/>
              <w:rPr>
                <w:rFonts w:ascii="Verdana" w:hAnsi="Verdana"/>
                <w:b/>
                <w:sz w:val="16"/>
                <w:szCs w:val="16"/>
              </w:rPr>
            </w:pPr>
            <w:r w:rsidRPr="00837D4A">
              <w:rPr>
                <w:rFonts w:ascii="Verdana" w:hAnsi="Verdana"/>
                <w:b/>
                <w:sz w:val="16"/>
                <w:szCs w:val="16"/>
              </w:rPr>
              <w:t>XVII.</w:t>
            </w:r>
            <w:r w:rsidRPr="00837D4A">
              <w:rPr>
                <w:rFonts w:ascii="Verdana" w:hAnsi="Verdana"/>
                <w:b/>
                <w:sz w:val="16"/>
                <w:szCs w:val="16"/>
              </w:rPr>
              <w:tab/>
            </w:r>
            <w:r w:rsidRPr="00837D4A">
              <w:rPr>
                <w:rFonts w:ascii="Verdana" w:hAnsi="Verdana"/>
                <w:sz w:val="16"/>
                <w:szCs w:val="16"/>
              </w:rPr>
              <w:t>Las</w:t>
            </w:r>
            <w:r w:rsidRPr="00837D4A">
              <w:rPr>
                <w:rFonts w:ascii="Verdana" w:hAnsi="Verdana"/>
                <w:b/>
                <w:sz w:val="16"/>
                <w:szCs w:val="16"/>
              </w:rPr>
              <w:t xml:space="preserve"> </w:t>
            </w:r>
            <w:r w:rsidRPr="00837D4A">
              <w:rPr>
                <w:rFonts w:ascii="Verdana" w:hAnsi="Verdana"/>
                <w:sz w:val="16"/>
                <w:szCs w:val="16"/>
              </w:rPr>
              <w:t>demás actividades y obligaciones que se determinen en la Normatividad que emitan la Secretaría y la Comisión.</w:t>
            </w:r>
          </w:p>
        </w:tc>
        <w:tc>
          <w:tcPr>
            <w:tcW w:w="4649" w:type="dxa"/>
          </w:tcPr>
          <w:p w14:paraId="0B6F3AEF" w14:textId="75007839" w:rsidR="009849AC" w:rsidRPr="00837D4A" w:rsidRDefault="009849AC" w:rsidP="009849AC">
            <w:pPr>
              <w:pStyle w:val="Texto"/>
              <w:spacing w:after="92"/>
              <w:ind w:firstLine="0"/>
              <w:rPr>
                <w:rFonts w:ascii="Verdana" w:hAnsi="Verdana"/>
                <w:b/>
                <w:sz w:val="16"/>
                <w:szCs w:val="16"/>
                <w:lang w:val="en-US"/>
              </w:rPr>
            </w:pPr>
            <w:r w:rsidRPr="00837D4A">
              <w:rPr>
                <w:rFonts w:ascii="Verdana" w:hAnsi="Verdana"/>
                <w:b/>
                <w:sz w:val="16"/>
                <w:szCs w:val="16"/>
                <w:lang w:val="en-US"/>
              </w:rPr>
              <w:t xml:space="preserve">XVII.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Pr="00837D4A">
              <w:rPr>
                <w:rFonts w:ascii="Verdana" w:hAnsi="Verdana"/>
                <w:sz w:val="16"/>
                <w:szCs w:val="16"/>
                <w:lang w:val="en-US"/>
              </w:rPr>
              <w:t>other activities and obligations determined in the Legislation issued by the Secretary and the Commission.</w:t>
            </w:r>
          </w:p>
        </w:tc>
      </w:tr>
      <w:tr w:rsidR="009849AC" w:rsidRPr="002C0F16" w14:paraId="3E80A815" w14:textId="4534A80F" w:rsidTr="00F867DE">
        <w:tc>
          <w:tcPr>
            <w:tcW w:w="4711" w:type="dxa"/>
          </w:tcPr>
          <w:p w14:paraId="43BCD693"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sz w:val="16"/>
                <w:szCs w:val="16"/>
              </w:rPr>
              <w:t xml:space="preserve">Para efectos de las obligaciones previstas en el artículo 76, párrafos segundo y último de la Ley, la Secretaría o la Comisión según corresponda, deben emitir la Normatividad en materia de entrega de información relacionada con controles volumétricos, medición, calidad del Gas Natural, Petrolíferos y Petroquímicos, así como los mecanismos para la entrega de la información </w:t>
            </w:r>
            <w:r w:rsidRPr="00837D4A">
              <w:rPr>
                <w:rFonts w:ascii="Verdana" w:hAnsi="Verdana"/>
                <w:sz w:val="16"/>
                <w:szCs w:val="16"/>
              </w:rPr>
              <w:lastRenderedPageBreak/>
              <w:t>de sus proveedores, prestadores de servicios y clientes, según corresponda.</w:t>
            </w:r>
          </w:p>
        </w:tc>
        <w:tc>
          <w:tcPr>
            <w:tcW w:w="4649" w:type="dxa"/>
          </w:tcPr>
          <w:p w14:paraId="10201AFF" w14:textId="2406EF32" w:rsidR="009849AC" w:rsidRPr="00837D4A" w:rsidRDefault="009849AC" w:rsidP="009849AC">
            <w:pPr>
              <w:pStyle w:val="Texto"/>
              <w:spacing w:after="92"/>
              <w:ind w:firstLine="0"/>
              <w:rPr>
                <w:rFonts w:ascii="Verdana" w:hAnsi="Verdana"/>
                <w:sz w:val="16"/>
                <w:szCs w:val="16"/>
                <w:lang w:val="en-US"/>
              </w:rPr>
            </w:pPr>
            <w:r w:rsidRPr="00837D4A">
              <w:rPr>
                <w:rFonts w:ascii="Verdana" w:hAnsi="Verdana"/>
                <w:sz w:val="16"/>
                <w:szCs w:val="16"/>
                <w:lang w:val="en-US"/>
              </w:rPr>
              <w:lastRenderedPageBreak/>
              <w:t xml:space="preserve">For the purposes of the obligations set forth in Article 76, second and last paragraphs of the Law, the Secretary or the Commission, as appropriate, must issue the Regulation on the delivery of information related to volumetric controls, measurement, quality of natural gas, petroleum products and petrochemicals, as well as the mechanisms for the delivery of information </w:t>
            </w:r>
            <w:r w:rsidRPr="00837D4A">
              <w:rPr>
                <w:rFonts w:ascii="Verdana" w:hAnsi="Verdana"/>
                <w:sz w:val="16"/>
                <w:szCs w:val="16"/>
                <w:lang w:val="en-US"/>
              </w:rPr>
              <w:lastRenderedPageBreak/>
              <w:t>from their suppliers, service providers and customers, as appropriate.</w:t>
            </w:r>
          </w:p>
        </w:tc>
      </w:tr>
      <w:tr w:rsidR="009849AC" w:rsidRPr="002C0F16" w14:paraId="381929A7" w14:textId="3AB8706B" w:rsidTr="00F867DE">
        <w:tc>
          <w:tcPr>
            <w:tcW w:w="4711" w:type="dxa"/>
          </w:tcPr>
          <w:p w14:paraId="68BD0FEF"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sz w:val="16"/>
                <w:szCs w:val="16"/>
              </w:rPr>
              <w:lastRenderedPageBreak/>
              <w:t>La Secretaría debe habilitar el acceso a la plataforma del sistema de información electrónica, para que las personas Permisionarias den cumplimiento a las obligaciones referidas en el párrafo anterior.</w:t>
            </w:r>
          </w:p>
        </w:tc>
        <w:tc>
          <w:tcPr>
            <w:tcW w:w="4649" w:type="dxa"/>
          </w:tcPr>
          <w:p w14:paraId="50BD9329" w14:textId="3D85A1F1" w:rsidR="009849AC" w:rsidRPr="00837D4A" w:rsidRDefault="009849AC" w:rsidP="009849AC">
            <w:pPr>
              <w:pStyle w:val="Texto"/>
              <w:spacing w:after="92"/>
              <w:ind w:firstLine="0"/>
              <w:rPr>
                <w:rFonts w:ascii="Verdana" w:hAnsi="Verdana"/>
                <w:sz w:val="16"/>
                <w:szCs w:val="16"/>
                <w:lang w:val="en-US"/>
              </w:rPr>
            </w:pPr>
            <w:r w:rsidRPr="00837D4A">
              <w:rPr>
                <w:rFonts w:ascii="Verdana" w:hAnsi="Verdana"/>
                <w:sz w:val="16"/>
                <w:szCs w:val="16"/>
                <w:lang w:val="en-US"/>
              </w:rPr>
              <w:t>The Secretary must enable access to the electronic information system platform so that permit holders can comply with the obligations referred to in the preceding paragraph.</w:t>
            </w:r>
          </w:p>
        </w:tc>
      </w:tr>
      <w:tr w:rsidR="009849AC" w:rsidRPr="002C0F16" w14:paraId="4C4B87DB" w14:textId="13C36104" w:rsidTr="00F867DE">
        <w:tc>
          <w:tcPr>
            <w:tcW w:w="4711" w:type="dxa"/>
          </w:tcPr>
          <w:p w14:paraId="385FBFBD"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sz w:val="16"/>
                <w:szCs w:val="16"/>
              </w:rPr>
              <w:t>Para el caso de nuevos permisos de Comercialización, se debe notificar a la Secretaría o a la Comisión, según corresponda, el inicio de operaciones, mismo que no puede ser con anterioridad a la aprobación del modelo de contrato de comercialización correspondiente.</w:t>
            </w:r>
          </w:p>
        </w:tc>
        <w:tc>
          <w:tcPr>
            <w:tcW w:w="4649" w:type="dxa"/>
          </w:tcPr>
          <w:p w14:paraId="496D971E" w14:textId="6BB31353" w:rsidR="009849AC" w:rsidRPr="00837D4A" w:rsidRDefault="009849AC" w:rsidP="009849AC">
            <w:pPr>
              <w:pStyle w:val="Texto"/>
              <w:spacing w:after="92"/>
              <w:ind w:firstLine="0"/>
              <w:rPr>
                <w:rFonts w:ascii="Verdana" w:hAnsi="Verdana"/>
                <w:sz w:val="16"/>
                <w:szCs w:val="16"/>
                <w:lang w:val="en-US"/>
              </w:rPr>
            </w:pPr>
            <w:r w:rsidRPr="00837D4A">
              <w:rPr>
                <w:rFonts w:ascii="Verdana" w:hAnsi="Verdana"/>
                <w:sz w:val="16"/>
                <w:szCs w:val="16"/>
                <w:lang w:val="en-US"/>
              </w:rPr>
              <w:t>In the case of new Marketing permits, the Secretary or the Commission, as appropriate, must be notified of the start of operations, which cannot be prior to the approval of the corresponding marketing contract model.</w:t>
            </w:r>
          </w:p>
        </w:tc>
      </w:tr>
      <w:tr w:rsidR="009849AC" w:rsidRPr="002C0F16" w14:paraId="268B8787" w14:textId="0C4B2A60" w:rsidTr="00F867DE">
        <w:tc>
          <w:tcPr>
            <w:tcW w:w="4711" w:type="dxa"/>
          </w:tcPr>
          <w:p w14:paraId="08A7C05E"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sz w:val="16"/>
                <w:szCs w:val="16"/>
              </w:rPr>
              <w:t>Las personas que cuenten con un permiso de Comercialización deben actualizar y remitir trimestralmente a la Secretaría o a la Comisión, en el formato que para tal efecto expidan, según sus competencias, el padrón de proveedores y clientes finales, e incluir los contratos vigentes, volúmenes comprometidos y destino final del producto. Toda modificación debe notificarse en un plazo no mayor a cinco días hábiles desde su formalización.</w:t>
            </w:r>
          </w:p>
        </w:tc>
        <w:tc>
          <w:tcPr>
            <w:tcW w:w="4649" w:type="dxa"/>
          </w:tcPr>
          <w:p w14:paraId="3AA55B80" w14:textId="2A73DD00" w:rsidR="009849AC" w:rsidRPr="00837D4A" w:rsidRDefault="009849AC" w:rsidP="009849AC">
            <w:pPr>
              <w:pStyle w:val="Texto"/>
              <w:spacing w:after="92"/>
              <w:ind w:firstLine="0"/>
              <w:rPr>
                <w:rFonts w:ascii="Verdana" w:hAnsi="Verdana"/>
                <w:sz w:val="16"/>
                <w:szCs w:val="16"/>
                <w:lang w:val="en-US"/>
              </w:rPr>
            </w:pPr>
            <w:r w:rsidRPr="00837D4A">
              <w:rPr>
                <w:rFonts w:ascii="Verdana" w:hAnsi="Verdana"/>
                <w:sz w:val="16"/>
                <w:szCs w:val="16"/>
                <w:lang w:val="en-US"/>
              </w:rPr>
              <w:t>Those holding a Marketing Permit must update and submit quarterly to the Secretary or the Commission, in the format issued for such purposes, according to their jurisdiction, the list of suppliers and end customers, including current contracts, committed volumes, and final destination of the product. Any changes must be notified within no more than five business days of their formalization.</w:t>
            </w:r>
          </w:p>
        </w:tc>
      </w:tr>
      <w:tr w:rsidR="009849AC" w:rsidRPr="002C0F16" w14:paraId="5CAB268F" w14:textId="74B400EF" w:rsidTr="00F867DE">
        <w:tc>
          <w:tcPr>
            <w:tcW w:w="4711" w:type="dxa"/>
          </w:tcPr>
          <w:p w14:paraId="51DB146B"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sz w:val="16"/>
                <w:szCs w:val="16"/>
              </w:rPr>
              <w:t>El incumplimiento a cualquiera de las actividades y obligaciones previstas en el presente artículo que la Secretaría o la Comisión incluyan en el título de permiso correspondiente es causal de revocación, acorde con lo previsto en el artículo 89, fracción I de la Ley.</w:t>
            </w:r>
          </w:p>
        </w:tc>
        <w:tc>
          <w:tcPr>
            <w:tcW w:w="4649" w:type="dxa"/>
          </w:tcPr>
          <w:p w14:paraId="3894BCF2" w14:textId="142A7D97" w:rsidR="009849AC" w:rsidRPr="00837D4A" w:rsidRDefault="009849AC" w:rsidP="009849AC">
            <w:pPr>
              <w:pStyle w:val="Texto"/>
              <w:spacing w:after="92"/>
              <w:ind w:firstLine="0"/>
              <w:rPr>
                <w:rFonts w:ascii="Verdana" w:hAnsi="Verdana"/>
                <w:sz w:val="16"/>
                <w:szCs w:val="16"/>
                <w:lang w:val="en-US"/>
              </w:rPr>
            </w:pPr>
            <w:r w:rsidRPr="00837D4A">
              <w:rPr>
                <w:rFonts w:ascii="Verdana" w:hAnsi="Verdana"/>
                <w:sz w:val="16"/>
                <w:szCs w:val="16"/>
                <w:lang w:val="en-US"/>
              </w:rPr>
              <w:t>Failure to comply with any of the activities and obligations provided for in this article that the Secretary or the Commission includes in the corresponding permit title is grounds for revocation, in accordance with the provisions of article 89, section I of the Law.</w:t>
            </w:r>
          </w:p>
        </w:tc>
      </w:tr>
      <w:tr w:rsidR="009849AC" w:rsidRPr="002C0F16" w14:paraId="07077BFF" w14:textId="3D216DF3" w:rsidTr="00F867DE">
        <w:tc>
          <w:tcPr>
            <w:tcW w:w="4711" w:type="dxa"/>
          </w:tcPr>
          <w:p w14:paraId="2CF3260D"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b/>
                <w:sz w:val="16"/>
                <w:szCs w:val="16"/>
              </w:rPr>
              <w:t xml:space="preserve">Artículo 110. </w:t>
            </w:r>
            <w:r w:rsidRPr="00837D4A">
              <w:rPr>
                <w:rFonts w:ascii="Verdana" w:hAnsi="Verdana"/>
                <w:sz w:val="16"/>
                <w:szCs w:val="16"/>
              </w:rPr>
              <w:t>Cuando el servicio de Comercialización que preste una persona titular de un permiso de Comercialización incluya la gestión o contratación de los servicios de Transporte por Ductos, Distribución por Ductos o Almacenamiento, debe incluir en la factura de prestación del servicio el desglose de las actividades y su costo unitario, con el propósito de que la persona Usuaria tenga certidumbre respecto del costo de los servicios que recibe.</w:t>
            </w:r>
          </w:p>
        </w:tc>
        <w:tc>
          <w:tcPr>
            <w:tcW w:w="4649" w:type="dxa"/>
          </w:tcPr>
          <w:p w14:paraId="4683DB8B" w14:textId="3F33F82D" w:rsidR="009849AC" w:rsidRPr="00837D4A" w:rsidRDefault="009849AC" w:rsidP="009849AC">
            <w:pPr>
              <w:pStyle w:val="Texto"/>
              <w:spacing w:after="92"/>
              <w:ind w:firstLine="0"/>
              <w:rPr>
                <w:rFonts w:ascii="Verdana" w:hAnsi="Verdana"/>
                <w:b/>
                <w:sz w:val="16"/>
                <w:szCs w:val="16"/>
                <w:lang w:val="en-US"/>
              </w:rPr>
            </w:pPr>
            <w:r w:rsidRPr="00837D4A">
              <w:rPr>
                <w:rFonts w:ascii="Verdana" w:hAnsi="Verdana"/>
                <w:b/>
                <w:sz w:val="16"/>
                <w:szCs w:val="16"/>
                <w:lang w:val="en-US"/>
              </w:rPr>
              <w:t xml:space="preserve">Article 110. </w:t>
            </w:r>
            <w:r w:rsidRPr="00837D4A">
              <w:rPr>
                <w:rFonts w:ascii="Verdana" w:hAnsi="Verdana"/>
                <w:sz w:val="16"/>
                <w:szCs w:val="16"/>
                <w:lang w:val="en-US"/>
              </w:rPr>
              <w:t>When the Marketing service provided by a person holding a Marketing permit includes the management or contracting of pipeline transportation, pipeline distribution or storage services, the invoice for the provision of the service must include a breakdown of the activities and their unit cost, so that the User has certainty regarding the cost of the services they receive.</w:t>
            </w:r>
          </w:p>
        </w:tc>
      </w:tr>
      <w:tr w:rsidR="009849AC" w:rsidRPr="002C0F16" w14:paraId="5920748B" w14:textId="4B8A3C49" w:rsidTr="00F867DE">
        <w:tc>
          <w:tcPr>
            <w:tcW w:w="4711" w:type="dxa"/>
          </w:tcPr>
          <w:p w14:paraId="452C8CC0"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sz w:val="16"/>
                <w:szCs w:val="16"/>
              </w:rPr>
              <w:t xml:space="preserve">En caso de que existan componentes no </w:t>
            </w:r>
            <w:proofErr w:type="spellStart"/>
            <w:r w:rsidRPr="00837D4A">
              <w:rPr>
                <w:rFonts w:ascii="Verdana" w:hAnsi="Verdana"/>
                <w:sz w:val="16"/>
                <w:szCs w:val="16"/>
              </w:rPr>
              <w:t>desagregables</w:t>
            </w:r>
            <w:proofErr w:type="spellEnd"/>
            <w:r w:rsidRPr="00837D4A">
              <w:rPr>
                <w:rFonts w:ascii="Verdana" w:hAnsi="Verdana"/>
                <w:sz w:val="16"/>
                <w:szCs w:val="16"/>
              </w:rPr>
              <w:t xml:space="preserve"> o con condiciones comerciales confidenciales, la persona Permisionaria puede incluir en la factura u orden de servicio una nota explicativa en la que se señale dicha circunstancia, sin perjuicio de cumplir con las obligaciones de información que establezca la autoridad competente.</w:t>
            </w:r>
          </w:p>
        </w:tc>
        <w:tc>
          <w:tcPr>
            <w:tcW w:w="4649" w:type="dxa"/>
          </w:tcPr>
          <w:p w14:paraId="11379FBA" w14:textId="4B3EC721" w:rsidR="009849AC" w:rsidRPr="00837D4A" w:rsidRDefault="009849AC" w:rsidP="009849AC">
            <w:pPr>
              <w:pStyle w:val="Texto"/>
              <w:spacing w:after="92"/>
              <w:ind w:firstLine="0"/>
              <w:rPr>
                <w:rFonts w:ascii="Verdana" w:hAnsi="Verdana"/>
                <w:sz w:val="16"/>
                <w:szCs w:val="16"/>
                <w:lang w:val="en-US"/>
              </w:rPr>
            </w:pPr>
            <w:r w:rsidRPr="00837D4A">
              <w:rPr>
                <w:rFonts w:ascii="Verdana" w:hAnsi="Verdana"/>
                <w:sz w:val="16"/>
                <w:szCs w:val="16"/>
                <w:lang w:val="en-US"/>
              </w:rPr>
              <w:t>In the event that there are non-</w:t>
            </w:r>
            <w:proofErr w:type="spellStart"/>
            <w:r w:rsidRPr="00837D4A">
              <w:rPr>
                <w:rFonts w:ascii="Verdana" w:hAnsi="Verdana"/>
                <w:sz w:val="16"/>
                <w:szCs w:val="16"/>
                <w:lang w:val="en-US"/>
              </w:rPr>
              <w:t>disaggregable</w:t>
            </w:r>
            <w:proofErr w:type="spellEnd"/>
            <w:r w:rsidRPr="00837D4A">
              <w:rPr>
                <w:rFonts w:ascii="Verdana" w:hAnsi="Verdana"/>
                <w:sz w:val="16"/>
                <w:szCs w:val="16"/>
                <w:lang w:val="en-US"/>
              </w:rPr>
              <w:t xml:space="preserve"> components or with confidential commercial conditions, the Permit Holder may include an explanatory note in the invoice or service order indicating this circumstance, without prejudice to complying with the information obligations established by the appropriate  authority.</w:t>
            </w:r>
          </w:p>
        </w:tc>
      </w:tr>
      <w:tr w:rsidR="009849AC" w:rsidRPr="002C0F16" w14:paraId="76622FB5" w14:textId="1DF768EE" w:rsidTr="00F867DE">
        <w:tc>
          <w:tcPr>
            <w:tcW w:w="4711" w:type="dxa"/>
          </w:tcPr>
          <w:p w14:paraId="4D23EDAF"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sz w:val="16"/>
                <w:szCs w:val="16"/>
              </w:rPr>
              <w:t>La factura a la que se refiere el primer párrafo, orden de servicio o documento análogo que lo permita, debe incluir la información que permita contactar a las personas que prestan los referidos servicios, en caso de que la persona Usuaria quiera realizar la contratación de manera directa.</w:t>
            </w:r>
          </w:p>
        </w:tc>
        <w:tc>
          <w:tcPr>
            <w:tcW w:w="4649" w:type="dxa"/>
          </w:tcPr>
          <w:p w14:paraId="37813B71" w14:textId="15EF3BE7" w:rsidR="009849AC" w:rsidRPr="00837D4A" w:rsidRDefault="009849AC" w:rsidP="009849AC">
            <w:pPr>
              <w:pStyle w:val="Texto"/>
              <w:spacing w:after="92"/>
              <w:ind w:firstLine="0"/>
              <w:rPr>
                <w:rFonts w:ascii="Verdana" w:hAnsi="Verdana"/>
                <w:sz w:val="16"/>
                <w:szCs w:val="16"/>
                <w:lang w:val="en-US"/>
              </w:rPr>
            </w:pPr>
            <w:r w:rsidRPr="00837D4A">
              <w:rPr>
                <w:rFonts w:ascii="Verdana" w:hAnsi="Verdana"/>
                <w:sz w:val="16"/>
                <w:szCs w:val="16"/>
                <w:lang w:val="en-US"/>
              </w:rPr>
              <w:t>The invoice referred to in the first paragraph, service order, or similar document that allows it, must include information that allows contacting the persons who provide the aforementioned services, in case the User wishes to make the contract directly.</w:t>
            </w:r>
          </w:p>
        </w:tc>
      </w:tr>
      <w:tr w:rsidR="009849AC" w:rsidRPr="00D0180E" w14:paraId="6CE3E170" w14:textId="73D234BD" w:rsidTr="00F867DE">
        <w:tc>
          <w:tcPr>
            <w:tcW w:w="4711" w:type="dxa"/>
          </w:tcPr>
          <w:p w14:paraId="2FCD2A7E" w14:textId="77777777" w:rsidR="009849AC" w:rsidRPr="00837D4A" w:rsidRDefault="009849AC" w:rsidP="009849AC">
            <w:pPr>
              <w:pStyle w:val="Texto"/>
              <w:spacing w:after="92"/>
              <w:ind w:firstLine="0"/>
              <w:jc w:val="center"/>
              <w:rPr>
                <w:rFonts w:ascii="Verdana" w:hAnsi="Verdana"/>
                <w:b/>
                <w:sz w:val="16"/>
                <w:szCs w:val="16"/>
              </w:rPr>
            </w:pPr>
            <w:r w:rsidRPr="00837D4A">
              <w:rPr>
                <w:rFonts w:ascii="Verdana" w:hAnsi="Verdana"/>
                <w:b/>
                <w:sz w:val="16"/>
                <w:szCs w:val="16"/>
              </w:rPr>
              <w:t>Sección Quinta</w:t>
            </w:r>
          </w:p>
        </w:tc>
        <w:tc>
          <w:tcPr>
            <w:tcW w:w="4649" w:type="dxa"/>
          </w:tcPr>
          <w:p w14:paraId="623E3CEE" w14:textId="15D9D8C0" w:rsidR="009849AC" w:rsidRPr="00837D4A" w:rsidRDefault="009849AC" w:rsidP="009849AC">
            <w:pPr>
              <w:pStyle w:val="Texto"/>
              <w:spacing w:after="92"/>
              <w:ind w:firstLine="0"/>
              <w:jc w:val="center"/>
              <w:rPr>
                <w:rFonts w:ascii="Verdana" w:hAnsi="Verdana"/>
                <w:b/>
                <w:sz w:val="16"/>
                <w:szCs w:val="16"/>
                <w:lang w:val="en-US"/>
              </w:rPr>
            </w:pPr>
            <w:proofErr w:type="spellStart"/>
            <w:r w:rsidRPr="00837D4A">
              <w:rPr>
                <w:rFonts w:ascii="Verdana" w:hAnsi="Verdana"/>
                <w:b/>
                <w:sz w:val="16"/>
                <w:szCs w:val="16"/>
              </w:rPr>
              <w:t>Fifth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D0180E" w14:paraId="78CB0F67" w14:textId="08B4637C" w:rsidTr="00F867DE">
        <w:tc>
          <w:tcPr>
            <w:tcW w:w="4711" w:type="dxa"/>
          </w:tcPr>
          <w:p w14:paraId="7D4C7255" w14:textId="77777777" w:rsidR="009849AC" w:rsidRPr="00837D4A" w:rsidRDefault="009849AC" w:rsidP="009849AC">
            <w:pPr>
              <w:pStyle w:val="Texto"/>
              <w:spacing w:after="92"/>
              <w:ind w:firstLine="0"/>
              <w:jc w:val="center"/>
              <w:rPr>
                <w:rFonts w:ascii="Verdana" w:hAnsi="Verdana"/>
                <w:b/>
                <w:sz w:val="16"/>
                <w:szCs w:val="16"/>
              </w:rPr>
            </w:pPr>
            <w:r w:rsidRPr="00837D4A">
              <w:rPr>
                <w:rFonts w:ascii="Verdana" w:hAnsi="Verdana"/>
                <w:b/>
                <w:sz w:val="16"/>
                <w:szCs w:val="16"/>
              </w:rPr>
              <w:t>Del Almacenamiento</w:t>
            </w:r>
          </w:p>
        </w:tc>
        <w:tc>
          <w:tcPr>
            <w:tcW w:w="4649" w:type="dxa"/>
          </w:tcPr>
          <w:p w14:paraId="0B594A8A" w14:textId="26AF18AD" w:rsidR="009849AC" w:rsidRPr="00837D4A" w:rsidRDefault="009849AC" w:rsidP="009849AC">
            <w:pPr>
              <w:pStyle w:val="Texto"/>
              <w:spacing w:after="92"/>
              <w:ind w:firstLine="0"/>
              <w:jc w:val="center"/>
              <w:rPr>
                <w:rFonts w:ascii="Verdana" w:hAnsi="Verdana"/>
                <w:b/>
                <w:sz w:val="16"/>
                <w:szCs w:val="16"/>
                <w:lang w:val="en-US"/>
              </w:rPr>
            </w:pPr>
            <w:r w:rsidRPr="00837D4A">
              <w:rPr>
                <w:rFonts w:ascii="Verdana" w:hAnsi="Verdana"/>
                <w:b/>
                <w:sz w:val="16"/>
                <w:szCs w:val="16"/>
              </w:rPr>
              <w:t>Storage</w:t>
            </w:r>
          </w:p>
        </w:tc>
      </w:tr>
      <w:tr w:rsidR="009849AC" w:rsidRPr="00524712" w14:paraId="1BF3E7DC" w14:textId="7B8D5656" w:rsidTr="00F867DE">
        <w:tc>
          <w:tcPr>
            <w:tcW w:w="4711" w:type="dxa"/>
          </w:tcPr>
          <w:p w14:paraId="211ACB3F"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b/>
                <w:sz w:val="16"/>
                <w:szCs w:val="16"/>
              </w:rPr>
              <w:t xml:space="preserve">Artículo 111. </w:t>
            </w:r>
            <w:r w:rsidRPr="00837D4A">
              <w:rPr>
                <w:rFonts w:ascii="Verdana" w:hAnsi="Verdana"/>
                <w:sz w:val="16"/>
                <w:szCs w:val="16"/>
              </w:rPr>
              <w:t xml:space="preserve">El Almacenamiento comprende la actividad de recibir Hidrocarburos, Petrolíferos o Petroquímicos propiedad de terceras personas en los puntos de recepción de su Sistema, realizar la medición, conservar la calidad y cantidad, conservarlos en depósito, resguardarlos y devolverlos a la persona </w:t>
            </w:r>
            <w:r w:rsidRPr="00837D4A">
              <w:rPr>
                <w:rFonts w:ascii="Verdana" w:hAnsi="Verdana"/>
                <w:sz w:val="16"/>
                <w:szCs w:val="16"/>
              </w:rPr>
              <w:lastRenderedPageBreak/>
              <w:t>Usuaria o a quien esta designe, en los puntos de entrega determinados en su Sistema, o bien, propiedad de la persona Permisionaria solo para Usos Propios, conforme a lo dispuesto en la Normatividad que emitan la Secretaría, la Comisión o la Agencia. Se excluye de lo anterior a la Guarda.</w:t>
            </w:r>
          </w:p>
        </w:tc>
        <w:tc>
          <w:tcPr>
            <w:tcW w:w="4649" w:type="dxa"/>
          </w:tcPr>
          <w:p w14:paraId="78362902" w14:textId="68540BDA" w:rsidR="009849AC" w:rsidRPr="00837D4A" w:rsidRDefault="009849AC" w:rsidP="009849AC">
            <w:pPr>
              <w:pStyle w:val="Texto"/>
              <w:spacing w:after="92"/>
              <w:ind w:firstLine="0"/>
              <w:rPr>
                <w:rFonts w:ascii="Verdana" w:hAnsi="Verdana"/>
                <w:b/>
                <w:sz w:val="16"/>
                <w:szCs w:val="16"/>
                <w:lang w:val="en-US"/>
              </w:rPr>
            </w:pPr>
            <w:r w:rsidRPr="00837D4A">
              <w:rPr>
                <w:rFonts w:ascii="Verdana" w:hAnsi="Verdana"/>
                <w:b/>
                <w:sz w:val="16"/>
                <w:szCs w:val="16"/>
                <w:lang w:val="en-US"/>
              </w:rPr>
              <w:lastRenderedPageBreak/>
              <w:t xml:space="preserve">Article 111. </w:t>
            </w:r>
            <w:r w:rsidRPr="00837D4A">
              <w:rPr>
                <w:rFonts w:ascii="Verdana" w:hAnsi="Verdana"/>
                <w:sz w:val="16"/>
                <w:szCs w:val="16"/>
                <w:lang w:val="en-US"/>
              </w:rPr>
              <w:t xml:space="preserve">Storage includes the activity of receiving hydrocarbons, petroleum products or petrochemicals owned by third parties at the reception points of their system, measuring them, preserving their quality and quantity, storing them in storage, safeguarding them and returning them to the user or whoever they </w:t>
            </w:r>
            <w:r w:rsidRPr="00837D4A">
              <w:rPr>
                <w:rFonts w:ascii="Verdana" w:hAnsi="Verdana"/>
                <w:sz w:val="16"/>
                <w:szCs w:val="16"/>
                <w:lang w:val="en-US"/>
              </w:rPr>
              <w:lastRenderedPageBreak/>
              <w:t>designate, at the delivery points determined in their system, or property of the permit holder solely for their own uses, in accordance with the provisions of the legislation issued by the Secretary, the Commission or the Agency. The above does not include safekeeping.</w:t>
            </w:r>
          </w:p>
        </w:tc>
      </w:tr>
      <w:tr w:rsidR="009849AC" w:rsidRPr="002C0F16" w14:paraId="23118B56" w14:textId="50D03706" w:rsidTr="00F867DE">
        <w:tc>
          <w:tcPr>
            <w:tcW w:w="4711" w:type="dxa"/>
          </w:tcPr>
          <w:p w14:paraId="7712B0B2" w14:textId="77777777" w:rsidR="009849AC" w:rsidRPr="00837D4A" w:rsidRDefault="009849AC" w:rsidP="009849AC">
            <w:pPr>
              <w:pStyle w:val="Texto"/>
              <w:spacing w:after="92"/>
              <w:ind w:firstLine="0"/>
              <w:rPr>
                <w:rFonts w:ascii="Verdana" w:hAnsi="Verdana"/>
                <w:sz w:val="16"/>
                <w:szCs w:val="16"/>
              </w:rPr>
            </w:pPr>
            <w:r w:rsidRPr="00837D4A">
              <w:rPr>
                <w:rFonts w:ascii="Verdana" w:hAnsi="Verdana"/>
                <w:sz w:val="16"/>
                <w:szCs w:val="16"/>
              </w:rPr>
              <w:lastRenderedPageBreak/>
              <w:t>Las empresas públicas del Estado pueden realizar el Almacenamiento de Hidrocarburos, Petrolíferos o Petroquímicos de su propiedad para cualquier fin que les permita cumplir con su objeto.</w:t>
            </w:r>
          </w:p>
        </w:tc>
        <w:tc>
          <w:tcPr>
            <w:tcW w:w="4649" w:type="dxa"/>
          </w:tcPr>
          <w:p w14:paraId="5EDBC069" w14:textId="60DDB778" w:rsidR="009849AC" w:rsidRPr="00837D4A" w:rsidRDefault="009849AC" w:rsidP="009849AC">
            <w:pPr>
              <w:pStyle w:val="Texto"/>
              <w:spacing w:after="92"/>
              <w:ind w:firstLine="0"/>
              <w:rPr>
                <w:rFonts w:ascii="Verdana" w:hAnsi="Verdana"/>
                <w:sz w:val="16"/>
                <w:szCs w:val="16"/>
                <w:lang w:val="en-US"/>
              </w:rPr>
            </w:pPr>
            <w:r w:rsidRPr="00837D4A">
              <w:rPr>
                <w:rFonts w:ascii="Verdana" w:hAnsi="Verdana"/>
                <w:sz w:val="16"/>
                <w:szCs w:val="16"/>
                <w:lang w:val="en-US"/>
              </w:rPr>
              <w:t>State-owned companies may store hydrocarbons, petroleum products, or petrochemicals under their ownership for any purpose that allows them to fulfill their purpose.</w:t>
            </w:r>
          </w:p>
        </w:tc>
      </w:tr>
      <w:tr w:rsidR="009849AC" w:rsidRPr="002C0F16" w14:paraId="72C0B2A2" w14:textId="2F71772E" w:rsidTr="00F867DE">
        <w:tc>
          <w:tcPr>
            <w:tcW w:w="4711" w:type="dxa"/>
          </w:tcPr>
          <w:p w14:paraId="731B20A8"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Los Sistemas de Almacenamiento deben cumplir con lo especificado en la Normatividad aplicable, en materia de Impacto Social, seguridad industrial, seguridad operativa y protección al medio ambiente. Lo anterior, sin perjuicio de lo previsto en el artículo 105, fracción III de la Ley.</w:t>
            </w:r>
          </w:p>
        </w:tc>
        <w:tc>
          <w:tcPr>
            <w:tcW w:w="4649" w:type="dxa"/>
          </w:tcPr>
          <w:p w14:paraId="2EF5DCEE" w14:textId="1C78BCA9"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Storage Systems must comply with the applicable legislation regarding social impact, industrial safety, operational safety, and environmental protection. This is without prejudice to the provisions of Article 105, Section III of the Law.</w:t>
            </w:r>
          </w:p>
        </w:tc>
      </w:tr>
      <w:tr w:rsidR="009849AC" w:rsidRPr="002C0F16" w14:paraId="26DA25E0" w14:textId="2929594C" w:rsidTr="00F867DE">
        <w:tc>
          <w:tcPr>
            <w:tcW w:w="4711" w:type="dxa"/>
          </w:tcPr>
          <w:p w14:paraId="6591D661"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112.</w:t>
            </w:r>
            <w:r w:rsidRPr="00837D4A">
              <w:rPr>
                <w:rFonts w:ascii="Verdana" w:hAnsi="Verdana"/>
                <w:sz w:val="16"/>
                <w:szCs w:val="16"/>
              </w:rPr>
              <w:t xml:space="preserve"> Cada permiso de Almacenamiento debe ser otorgado para un Sistema específico, una capacidad y modalidad determinadas, y deben quedar contenidos en el título de permiso que expida la Secretaría o la Comisión. Las solicitudes de permiso de Almacenamiento deben evaluarse de conformidad con lo establecido en los artículos 80 y 81 de la Ley, lo previsto en este reglamento, la planeación vinculante y la demás Normatividad aplicable.</w:t>
            </w:r>
          </w:p>
        </w:tc>
        <w:tc>
          <w:tcPr>
            <w:tcW w:w="4649" w:type="dxa"/>
          </w:tcPr>
          <w:p w14:paraId="32539359" w14:textId="4D254589"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112. </w:t>
            </w:r>
            <w:r w:rsidRPr="00837D4A">
              <w:rPr>
                <w:rFonts w:ascii="Verdana" w:hAnsi="Verdana"/>
                <w:sz w:val="16"/>
                <w:szCs w:val="16"/>
                <w:lang w:val="en-US"/>
              </w:rPr>
              <w:t>Each Storage Permit must be granted for a specific system, with a specific capacity and modality, and must be included in the permit title issued by the Secretary or the Commission. Applications for Storage Permits must be evaluated in accordance with the provisions of Articles 80 and 81 of the Law, the provisions of this regulation, the binding planning, and other applicable legislation.</w:t>
            </w:r>
          </w:p>
        </w:tc>
      </w:tr>
      <w:tr w:rsidR="009849AC" w:rsidRPr="002C0F16" w14:paraId="050AC295" w14:textId="4B4895E6" w:rsidTr="00F867DE">
        <w:tc>
          <w:tcPr>
            <w:tcW w:w="4711" w:type="dxa"/>
          </w:tcPr>
          <w:p w14:paraId="19EBC5AA"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La capacidad de los permisos de Almacenamiento de Gas Licuado de Petróleo se determina y delimita bajo los criterios que se establezcan en la Normatividad aplicable.</w:t>
            </w:r>
          </w:p>
        </w:tc>
        <w:tc>
          <w:tcPr>
            <w:tcW w:w="4649" w:type="dxa"/>
          </w:tcPr>
          <w:p w14:paraId="3AAB66DB" w14:textId="68BE57AB"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The capacity of Liquefied Petroleum Gas Storage permits is determined and limited according to the criteria established in the applicable legislation.</w:t>
            </w:r>
          </w:p>
        </w:tc>
      </w:tr>
      <w:tr w:rsidR="009849AC" w:rsidRPr="002C0F16" w14:paraId="506E33A4" w14:textId="5C95B247" w:rsidTr="00F867DE">
        <w:tc>
          <w:tcPr>
            <w:tcW w:w="4711" w:type="dxa"/>
          </w:tcPr>
          <w:p w14:paraId="08D78DF9"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 xml:space="preserve">Artículo 113. </w:t>
            </w:r>
            <w:r w:rsidRPr="00837D4A">
              <w:rPr>
                <w:rFonts w:ascii="Verdana" w:hAnsi="Verdana"/>
                <w:sz w:val="16"/>
                <w:szCs w:val="16"/>
              </w:rPr>
              <w:t>La Comisión debe emitir los permisos de Almacenamiento bajo la modalidad de Usos Propios en los términos previstos en el artículo 104, párrafo quinto de la Ley, este reglamento y la demás Normatividad aplicable.</w:t>
            </w:r>
          </w:p>
        </w:tc>
        <w:tc>
          <w:tcPr>
            <w:tcW w:w="4649" w:type="dxa"/>
          </w:tcPr>
          <w:p w14:paraId="75E53C02" w14:textId="5E050E0D"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113. </w:t>
            </w:r>
            <w:r w:rsidRPr="00837D4A">
              <w:rPr>
                <w:rFonts w:ascii="Verdana" w:hAnsi="Verdana"/>
                <w:sz w:val="16"/>
                <w:szCs w:val="16"/>
                <w:lang w:val="en-US"/>
              </w:rPr>
              <w:t>The Commission must issue Storage permits under the Own Use modality in the terms provided in article 104, fifth paragraph of the Law, this regulation and other applicable legislation.</w:t>
            </w:r>
          </w:p>
        </w:tc>
      </w:tr>
      <w:tr w:rsidR="009849AC" w:rsidRPr="002C0F16" w14:paraId="16948D16" w14:textId="763C2058" w:rsidTr="00F867DE">
        <w:tc>
          <w:tcPr>
            <w:tcW w:w="4711" w:type="dxa"/>
          </w:tcPr>
          <w:p w14:paraId="2EBFFE89"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 xml:space="preserve">Artículo 114. </w:t>
            </w:r>
            <w:r w:rsidRPr="00837D4A">
              <w:rPr>
                <w:rFonts w:ascii="Verdana" w:hAnsi="Verdana"/>
                <w:sz w:val="16"/>
                <w:szCs w:val="16"/>
              </w:rPr>
              <w:t>Las personas Permisionarias de Almacenamiento son responsables de conservar la calidad y de realizar la medición del producto recibido y entregado en su Sistema, de conformidad con la Normatividad aplicable. Lo anterior, sin perjuicio de que las personas Permisionarias cuyos Sistemas se encuentren interconectados formalicen protocolos de medición conjunta para cumplir con las responsabilidades señaladas.</w:t>
            </w:r>
          </w:p>
        </w:tc>
        <w:tc>
          <w:tcPr>
            <w:tcW w:w="4649" w:type="dxa"/>
          </w:tcPr>
          <w:p w14:paraId="7BB1C77A" w14:textId="365624A9"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114. </w:t>
            </w:r>
            <w:r w:rsidRPr="00837D4A">
              <w:rPr>
                <w:rFonts w:ascii="Verdana" w:hAnsi="Verdana"/>
                <w:sz w:val="16"/>
                <w:szCs w:val="16"/>
                <w:lang w:val="en-US"/>
              </w:rPr>
              <w:t>Storage Permit Holders are responsible for maintaining the quality and measuring the product received and delivered into their system, in accordance with applicable legislation. This is without prejudice to Permit Holders whose Systems are interconnected formalizing joint measurement protocols to fulfill the stated responsibilities.</w:t>
            </w:r>
          </w:p>
        </w:tc>
      </w:tr>
      <w:tr w:rsidR="009849AC" w:rsidRPr="002C0F16" w14:paraId="6C4FE510" w14:textId="6E3E88BB" w:rsidTr="00F867DE">
        <w:tc>
          <w:tcPr>
            <w:tcW w:w="4711" w:type="dxa"/>
          </w:tcPr>
          <w:p w14:paraId="5BF54B20"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 xml:space="preserve">Artículo 115. </w:t>
            </w:r>
            <w:r w:rsidRPr="00837D4A">
              <w:rPr>
                <w:rFonts w:ascii="Verdana" w:hAnsi="Verdana"/>
                <w:sz w:val="16"/>
                <w:szCs w:val="16"/>
              </w:rPr>
              <w:t>La persona Usuaria Final que requiera almacenar Petrolíferos y Petroquímicos para su consumo en la realización de sus actividades industriales debe contar con un permiso de Almacenamiento con la modalidad de Usos Propios, en términos de la Normatividad aplicable.</w:t>
            </w:r>
          </w:p>
        </w:tc>
        <w:tc>
          <w:tcPr>
            <w:tcW w:w="4649" w:type="dxa"/>
          </w:tcPr>
          <w:p w14:paraId="7010600C" w14:textId="7DAC602B"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115. </w:t>
            </w:r>
            <w:r w:rsidRPr="00837D4A">
              <w:rPr>
                <w:rFonts w:ascii="Verdana" w:hAnsi="Verdana"/>
                <w:sz w:val="16"/>
                <w:szCs w:val="16"/>
                <w:lang w:val="en-US"/>
              </w:rPr>
              <w:t>The End User who requires to storing petroleum products and petrochemicals for consumption in the performance of their industrial activities must have a Storage permit with the Own Use modality, in terms of the applicable legislation.</w:t>
            </w:r>
          </w:p>
        </w:tc>
      </w:tr>
      <w:tr w:rsidR="009849AC" w:rsidRPr="002C0F16" w14:paraId="16371896" w14:textId="3F419EC6" w:rsidTr="00F867DE">
        <w:tc>
          <w:tcPr>
            <w:tcW w:w="4711" w:type="dxa"/>
          </w:tcPr>
          <w:p w14:paraId="501379DE"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lastRenderedPageBreak/>
              <w:t>Dicho permiso no conlleva la autorización de suministrar Petrolíferos a vehículos automotores de terceras personas ni de vender dichos productos a Particulares.</w:t>
            </w:r>
          </w:p>
        </w:tc>
        <w:tc>
          <w:tcPr>
            <w:tcW w:w="4649" w:type="dxa"/>
          </w:tcPr>
          <w:p w14:paraId="5374F9DB" w14:textId="260187B1"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This permit does not entail authorization to supply petroleum products to third-party motor vehicles or to sell said products to private individuals.</w:t>
            </w:r>
          </w:p>
        </w:tc>
      </w:tr>
      <w:tr w:rsidR="009849AC" w:rsidRPr="00D0180E" w14:paraId="366D4396" w14:textId="49A21DED" w:rsidTr="00F867DE">
        <w:tc>
          <w:tcPr>
            <w:tcW w:w="4711" w:type="dxa"/>
          </w:tcPr>
          <w:p w14:paraId="5AB6EB49" w14:textId="77777777" w:rsidR="009849AC" w:rsidRPr="00837D4A" w:rsidRDefault="009849AC" w:rsidP="009849AC">
            <w:pPr>
              <w:pStyle w:val="Texto"/>
              <w:spacing w:line="244" w:lineRule="exact"/>
              <w:ind w:firstLine="0"/>
              <w:jc w:val="center"/>
              <w:rPr>
                <w:rFonts w:ascii="Verdana" w:hAnsi="Verdana"/>
                <w:b/>
                <w:sz w:val="16"/>
                <w:szCs w:val="16"/>
              </w:rPr>
            </w:pPr>
            <w:r w:rsidRPr="00837D4A">
              <w:rPr>
                <w:rFonts w:ascii="Verdana" w:hAnsi="Verdana"/>
                <w:b/>
                <w:sz w:val="16"/>
                <w:szCs w:val="16"/>
              </w:rPr>
              <w:t>Sección Sexta</w:t>
            </w:r>
          </w:p>
        </w:tc>
        <w:tc>
          <w:tcPr>
            <w:tcW w:w="4649" w:type="dxa"/>
          </w:tcPr>
          <w:p w14:paraId="6B62DEFE" w14:textId="13691436" w:rsidR="009849AC" w:rsidRPr="00837D4A" w:rsidRDefault="009849AC" w:rsidP="009849AC">
            <w:pPr>
              <w:pStyle w:val="Texto"/>
              <w:spacing w:line="244" w:lineRule="exact"/>
              <w:ind w:firstLine="0"/>
              <w:jc w:val="center"/>
              <w:rPr>
                <w:rFonts w:ascii="Verdana" w:hAnsi="Verdana"/>
                <w:b/>
                <w:sz w:val="16"/>
                <w:szCs w:val="16"/>
                <w:lang w:val="en-US"/>
              </w:rPr>
            </w:pPr>
            <w:proofErr w:type="spellStart"/>
            <w:r w:rsidRPr="00837D4A">
              <w:rPr>
                <w:rFonts w:ascii="Verdana" w:hAnsi="Verdana"/>
                <w:b/>
                <w:sz w:val="16"/>
                <w:szCs w:val="16"/>
              </w:rPr>
              <w:t>Sixth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C0F16" w14:paraId="14FBB7D8" w14:textId="4B11A491" w:rsidTr="00F867DE">
        <w:tc>
          <w:tcPr>
            <w:tcW w:w="4711" w:type="dxa"/>
          </w:tcPr>
          <w:p w14:paraId="18C692D5" w14:textId="77777777" w:rsidR="009849AC" w:rsidRPr="00837D4A" w:rsidRDefault="009849AC" w:rsidP="009849AC">
            <w:pPr>
              <w:pStyle w:val="Texto"/>
              <w:spacing w:line="244" w:lineRule="exact"/>
              <w:ind w:firstLine="0"/>
              <w:jc w:val="center"/>
              <w:rPr>
                <w:rFonts w:ascii="Verdana" w:hAnsi="Verdana"/>
                <w:b/>
                <w:sz w:val="16"/>
                <w:szCs w:val="16"/>
              </w:rPr>
            </w:pPr>
            <w:r w:rsidRPr="00837D4A">
              <w:rPr>
                <w:rFonts w:ascii="Verdana" w:hAnsi="Verdana"/>
                <w:b/>
                <w:sz w:val="16"/>
                <w:szCs w:val="16"/>
              </w:rPr>
              <w:t>De la Compresión, Descompresión, Licuefacción y Regasificación de Gas Natural</w:t>
            </w:r>
          </w:p>
        </w:tc>
        <w:tc>
          <w:tcPr>
            <w:tcW w:w="4649" w:type="dxa"/>
          </w:tcPr>
          <w:p w14:paraId="7EE336E6" w14:textId="7C6DB013" w:rsidR="009849AC" w:rsidRPr="00837D4A" w:rsidRDefault="009849AC" w:rsidP="009849AC">
            <w:pPr>
              <w:pStyle w:val="Texto"/>
              <w:spacing w:line="244" w:lineRule="exact"/>
              <w:ind w:firstLine="0"/>
              <w:jc w:val="center"/>
              <w:rPr>
                <w:rFonts w:ascii="Verdana" w:hAnsi="Verdana"/>
                <w:b/>
                <w:sz w:val="16"/>
                <w:szCs w:val="16"/>
                <w:lang w:val="en-US"/>
              </w:rPr>
            </w:pPr>
            <w:r w:rsidRPr="00837D4A">
              <w:rPr>
                <w:rFonts w:ascii="Verdana" w:hAnsi="Verdana"/>
                <w:b/>
                <w:sz w:val="16"/>
                <w:szCs w:val="16"/>
                <w:lang w:val="en-US"/>
              </w:rPr>
              <w:t>Compression, Decompression, Liquefaction and Regasification of Natural Gas</w:t>
            </w:r>
          </w:p>
        </w:tc>
      </w:tr>
      <w:tr w:rsidR="009849AC" w:rsidRPr="002C0F16" w14:paraId="047D89F6" w14:textId="6DBE08CB" w:rsidTr="00F867DE">
        <w:tc>
          <w:tcPr>
            <w:tcW w:w="4711" w:type="dxa"/>
          </w:tcPr>
          <w:p w14:paraId="17C8915E"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116.</w:t>
            </w:r>
            <w:r w:rsidRPr="00837D4A">
              <w:rPr>
                <w:rFonts w:ascii="Verdana" w:hAnsi="Verdana"/>
                <w:sz w:val="16"/>
                <w:szCs w:val="16"/>
              </w:rPr>
              <w:t xml:space="preserve"> Los permisos de Compresión se pueden otorgar a Particulares o empresas públicas del Estado que pretenden contar con Sistemas mediante los cuales se incremente la presión para reducir el volumen de Gas Natural a niveles que permitan su carga en módulos contenedores para su Transporte o Distribución por medios distintos a Ductos, para su entrega en instalaciones de Descompresión, así como a personas Permisionarias de Expendio al Público de Gas Natural.</w:t>
            </w:r>
          </w:p>
        </w:tc>
        <w:tc>
          <w:tcPr>
            <w:tcW w:w="4649" w:type="dxa"/>
          </w:tcPr>
          <w:p w14:paraId="2E643BAC" w14:textId="43896E76"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116. </w:t>
            </w:r>
            <w:r w:rsidRPr="00837D4A">
              <w:rPr>
                <w:rFonts w:ascii="Verdana" w:hAnsi="Verdana"/>
                <w:sz w:val="16"/>
                <w:szCs w:val="16"/>
                <w:lang w:val="en-US"/>
              </w:rPr>
              <w:t>Compression permits may be granted to individuals or public companies of the State that intend to have systems through which the pressure is increased to reduce the volume of Natural Gas to levels that allow its loading into container modules for its transportation or distribution by means other than pipelines, for its delivery to decompression facilities, as well as to persons who hold permits for the public sale of natural gas.</w:t>
            </w:r>
          </w:p>
        </w:tc>
      </w:tr>
      <w:tr w:rsidR="009849AC" w:rsidRPr="002C0F16" w14:paraId="4141884A" w14:textId="56520CED" w:rsidTr="00F867DE">
        <w:tc>
          <w:tcPr>
            <w:tcW w:w="4711" w:type="dxa"/>
          </w:tcPr>
          <w:p w14:paraId="5F22486E"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Las estaciones de Compresión con las que se presuriza el Gas Natural y las de regulación de presión para la operación de los Sistemas de Transporte por medio de Ductos, forman parte consustancial a dichos Sistemas, por lo que no se requiere de un permiso distinto al que se haya otorgado para el Sistema de Transporte por medio de Ductos de que se trate. Lo anterior sin perjuicio de que dichas estaciones pueden ser operadas por una tercera persona, sin que ello exima de responsabilidad a la persona Permisionaria.</w:t>
            </w:r>
          </w:p>
        </w:tc>
        <w:tc>
          <w:tcPr>
            <w:tcW w:w="4649" w:type="dxa"/>
          </w:tcPr>
          <w:p w14:paraId="24C6B8F7" w14:textId="7A43D961"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The compression stations used to pressurize natural gas and the pressure regulation stations for the operation of pipeline transportation systems are an integral part of said systems and therefore do not require a permit other than the one granted for the pipeline transportation system in question. This is without prejudice to the fact that said stations may be operated by a third party, without exempting the permit holder from liability.</w:t>
            </w:r>
          </w:p>
        </w:tc>
      </w:tr>
      <w:tr w:rsidR="009849AC" w:rsidRPr="002C0F16" w14:paraId="17959487" w14:textId="76B29F8A" w:rsidTr="00F867DE">
        <w:tc>
          <w:tcPr>
            <w:tcW w:w="4711" w:type="dxa"/>
          </w:tcPr>
          <w:p w14:paraId="0A16610B"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 xml:space="preserve">Artículo 117. </w:t>
            </w:r>
            <w:r w:rsidRPr="00837D4A">
              <w:rPr>
                <w:rFonts w:ascii="Verdana" w:hAnsi="Verdana"/>
                <w:sz w:val="16"/>
                <w:szCs w:val="16"/>
              </w:rPr>
              <w:t>Los permisos de Descompresión se pueden otorgar a Particulares o empresas públicas del Estado que pretenden contar con Sistemas que no formen parte consustancial a la operación de un Sistema de Transporte por medio de Ductos y mediante los cuales se reduzca la presión del Gas Natural comprimido a niveles que permitan su inyección a un Sistema de Ductos o en Instalaciones de Aprovechamiento.</w:t>
            </w:r>
          </w:p>
        </w:tc>
        <w:tc>
          <w:tcPr>
            <w:tcW w:w="4649" w:type="dxa"/>
          </w:tcPr>
          <w:p w14:paraId="3D9F59BC" w14:textId="083F632E"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117. </w:t>
            </w:r>
            <w:r w:rsidRPr="00837D4A">
              <w:rPr>
                <w:rFonts w:ascii="Verdana" w:hAnsi="Verdana"/>
                <w:sz w:val="16"/>
                <w:szCs w:val="16"/>
                <w:lang w:val="en-US"/>
              </w:rPr>
              <w:t>Decompression permits may be granted to private individuals or public companies of the State that intend to have Systems that are not an integral part of the operation of a transportation system through pipelines and through which the pressure of compressed natural gas is reduced to levels that allow its injection into a pipeline system or into utilization facilities.</w:t>
            </w:r>
          </w:p>
        </w:tc>
      </w:tr>
      <w:tr w:rsidR="009849AC" w:rsidRPr="002C0F16" w14:paraId="387F45B9" w14:textId="25424AA7" w:rsidTr="00F867DE">
        <w:tc>
          <w:tcPr>
            <w:tcW w:w="4711" w:type="dxa"/>
          </w:tcPr>
          <w:p w14:paraId="606FB4FD"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Cada punto de Descompresión debe contar con sus propios equipos, incluidos los necesarios para la medición de la entrega para cada persona Usuaria o Usuaria Final.</w:t>
            </w:r>
          </w:p>
        </w:tc>
        <w:tc>
          <w:tcPr>
            <w:tcW w:w="4649" w:type="dxa"/>
          </w:tcPr>
          <w:p w14:paraId="7B36BBD6" w14:textId="0A579F73"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Each decompression point must have its own equipment, including the equipment needed to measure the delivery for each user or end user.</w:t>
            </w:r>
          </w:p>
        </w:tc>
      </w:tr>
      <w:tr w:rsidR="009849AC" w:rsidRPr="002C0F16" w14:paraId="4848F6E4" w14:textId="7DD0F268" w:rsidTr="00F867DE">
        <w:tc>
          <w:tcPr>
            <w:tcW w:w="4711" w:type="dxa"/>
          </w:tcPr>
          <w:p w14:paraId="05A28EB2"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118.</w:t>
            </w:r>
            <w:r w:rsidRPr="00837D4A">
              <w:rPr>
                <w:rFonts w:ascii="Verdana" w:hAnsi="Verdana"/>
                <w:sz w:val="16"/>
                <w:szCs w:val="16"/>
              </w:rPr>
              <w:t xml:space="preserve"> Los permisos de Licuefacción se pueden otorgar a Particulares o empresas públicas del Estado que pretenden contar con Sistemas mediante los cuales el Gas Natural se somete a un proceso físico para cambiarlo de fase gaseosa a líquida, mantenerlo en fase líquida durante la Guarda, con la finalidad de entregarlo a personas Permisionarias de Almacenamiento, Transporte o Distribución, o de exportación.</w:t>
            </w:r>
          </w:p>
        </w:tc>
        <w:tc>
          <w:tcPr>
            <w:tcW w:w="4649" w:type="dxa"/>
          </w:tcPr>
          <w:p w14:paraId="53F06EC0" w14:textId="3B4FD995"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118. </w:t>
            </w:r>
            <w:r w:rsidRPr="00837D4A">
              <w:rPr>
                <w:rFonts w:ascii="Verdana" w:hAnsi="Verdana"/>
                <w:sz w:val="16"/>
                <w:szCs w:val="16"/>
                <w:lang w:val="en-US"/>
              </w:rPr>
              <w:t>Liquefaction permits may be granted to individuals or public companies of the State that intend to have systems through which natural gas is subjected to a physical process to change it from the gaseous phase to the liquid phase, keeping it in the liquid phase during storage, with the purpose of delivering it to persons holding storage, transportation or distribution permits, or for export.</w:t>
            </w:r>
          </w:p>
        </w:tc>
      </w:tr>
      <w:tr w:rsidR="009849AC" w:rsidRPr="002C0F16" w14:paraId="1C72860C" w14:textId="49D5960A" w:rsidTr="00F867DE">
        <w:tc>
          <w:tcPr>
            <w:tcW w:w="4711" w:type="dxa"/>
          </w:tcPr>
          <w:p w14:paraId="32345375"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119.</w:t>
            </w:r>
            <w:r w:rsidRPr="00837D4A">
              <w:rPr>
                <w:rFonts w:ascii="Verdana" w:hAnsi="Verdana"/>
                <w:sz w:val="16"/>
                <w:szCs w:val="16"/>
              </w:rPr>
              <w:t xml:space="preserve"> Los permisos de Regasificación se pueden otorgar a Particulares o empresas públicas del Estado que pretenden contar con Sistemas mediante los cuales el Gas Natural en fase líquida, se somete a un proceso </w:t>
            </w:r>
            <w:r w:rsidRPr="00837D4A">
              <w:rPr>
                <w:rFonts w:ascii="Verdana" w:hAnsi="Verdana"/>
                <w:sz w:val="16"/>
                <w:szCs w:val="16"/>
              </w:rPr>
              <w:lastRenderedPageBreak/>
              <w:t>para gasificarlo, para su inyección a un Sistema de Transporte por medio de Ductos o en Instalaciones de Aprovechamiento.</w:t>
            </w:r>
          </w:p>
        </w:tc>
        <w:tc>
          <w:tcPr>
            <w:tcW w:w="4649" w:type="dxa"/>
          </w:tcPr>
          <w:p w14:paraId="21E9D2C1" w14:textId="015AFDA7"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119. </w:t>
            </w:r>
            <w:r w:rsidRPr="00837D4A">
              <w:rPr>
                <w:rFonts w:ascii="Verdana" w:hAnsi="Verdana"/>
                <w:sz w:val="16"/>
                <w:szCs w:val="16"/>
                <w:lang w:val="en-US"/>
              </w:rPr>
              <w:t xml:space="preserve">Regasification permits may be granted to private individuals or public companies of the State that intend to have systems through which natural gas in liquid phase is subjected to a process to gasify it, for its </w:t>
            </w:r>
            <w:r w:rsidRPr="00837D4A">
              <w:rPr>
                <w:rFonts w:ascii="Verdana" w:hAnsi="Verdana"/>
                <w:sz w:val="16"/>
                <w:szCs w:val="16"/>
                <w:lang w:val="en-US"/>
              </w:rPr>
              <w:lastRenderedPageBreak/>
              <w:t>injection into a transportation system through pipelines or in utilization facilities.</w:t>
            </w:r>
          </w:p>
        </w:tc>
      </w:tr>
      <w:tr w:rsidR="009849AC" w:rsidRPr="002C0F16" w14:paraId="77B627C6" w14:textId="2246F6C7" w:rsidTr="00F867DE">
        <w:tc>
          <w:tcPr>
            <w:tcW w:w="4711" w:type="dxa"/>
          </w:tcPr>
          <w:p w14:paraId="708D4C54"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lastRenderedPageBreak/>
              <w:t xml:space="preserve">Artículo 120. </w:t>
            </w:r>
            <w:r w:rsidRPr="00837D4A">
              <w:rPr>
                <w:rFonts w:ascii="Verdana" w:hAnsi="Verdana"/>
                <w:sz w:val="16"/>
                <w:szCs w:val="16"/>
              </w:rPr>
              <w:t>La realización de actividades de Compresión, Descompresión, Licuefacción y Regasificación de Gas Natural se debe determinar en la Normatividad que al efecto expidan la Comisión y la Agencia, según corresponda, en el ámbito de sus competencias.</w:t>
            </w:r>
          </w:p>
        </w:tc>
        <w:tc>
          <w:tcPr>
            <w:tcW w:w="4649" w:type="dxa"/>
          </w:tcPr>
          <w:p w14:paraId="177600C5" w14:textId="4BB8DF9B"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120. </w:t>
            </w:r>
            <w:r w:rsidRPr="00837D4A">
              <w:rPr>
                <w:rFonts w:ascii="Verdana" w:hAnsi="Verdana"/>
                <w:sz w:val="16"/>
                <w:szCs w:val="16"/>
                <w:lang w:val="en-US"/>
              </w:rPr>
              <w:t>The performance of natural gas compression, decompression, liquefaction and regasification activities must be determined in the Regulation issued for this purpose by the Commission and the Agency, as appropriate, within the scope of their powers.</w:t>
            </w:r>
          </w:p>
        </w:tc>
      </w:tr>
      <w:tr w:rsidR="009849AC" w:rsidRPr="002C0F16" w14:paraId="6276B340" w14:textId="25083C31" w:rsidTr="00F867DE">
        <w:tc>
          <w:tcPr>
            <w:tcW w:w="4711" w:type="dxa"/>
          </w:tcPr>
          <w:p w14:paraId="2220E179"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 xml:space="preserve">Artículo 121. </w:t>
            </w:r>
            <w:r w:rsidRPr="00837D4A">
              <w:rPr>
                <w:rFonts w:ascii="Verdana" w:hAnsi="Verdana"/>
                <w:sz w:val="16"/>
                <w:szCs w:val="16"/>
              </w:rPr>
              <w:t>Los permisos de Compresión y Licuefacción de Gas Natural se deben otorgar para un Sistema, ubicación y capacidad determinadas, que deben quedar contenidos en el título de permiso que expida la Comisión.</w:t>
            </w:r>
          </w:p>
        </w:tc>
        <w:tc>
          <w:tcPr>
            <w:tcW w:w="4649" w:type="dxa"/>
          </w:tcPr>
          <w:p w14:paraId="47F9E73C" w14:textId="10FB9B5C"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121. </w:t>
            </w:r>
            <w:r w:rsidRPr="00837D4A">
              <w:rPr>
                <w:rFonts w:ascii="Verdana" w:hAnsi="Verdana"/>
                <w:sz w:val="16"/>
                <w:szCs w:val="16"/>
                <w:lang w:val="en-US"/>
              </w:rPr>
              <w:t>Natural Gas Compression and Liquefaction permits must be granted for a specific System, location and capacity, which must be included in the permit title issued by the Commission.</w:t>
            </w:r>
          </w:p>
        </w:tc>
      </w:tr>
      <w:tr w:rsidR="009849AC" w:rsidRPr="002C0F16" w14:paraId="4753A523" w14:textId="5928D4EB" w:rsidTr="00F867DE">
        <w:tc>
          <w:tcPr>
            <w:tcW w:w="4711" w:type="dxa"/>
          </w:tcPr>
          <w:p w14:paraId="7EC78559"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sz w:val="16"/>
                <w:szCs w:val="16"/>
              </w:rPr>
              <w:t>Los permisos de Descompresión y Regasificación de Gas Natural se deben otorgar para un Sistema, ubicación o ubicaciones y capacidad determinadas que deben quedar contenidos en el título de permiso que expida la Comisión.</w:t>
            </w:r>
          </w:p>
        </w:tc>
        <w:tc>
          <w:tcPr>
            <w:tcW w:w="4649" w:type="dxa"/>
          </w:tcPr>
          <w:p w14:paraId="0E7D1956" w14:textId="1F83D78D" w:rsidR="009849AC" w:rsidRPr="00837D4A" w:rsidRDefault="009849AC" w:rsidP="009849AC">
            <w:pPr>
              <w:pStyle w:val="Texto"/>
              <w:spacing w:line="228" w:lineRule="exact"/>
              <w:ind w:firstLine="0"/>
              <w:rPr>
                <w:rFonts w:ascii="Verdana" w:hAnsi="Verdana"/>
                <w:sz w:val="16"/>
                <w:szCs w:val="16"/>
                <w:lang w:val="en-US"/>
              </w:rPr>
            </w:pPr>
            <w:r w:rsidRPr="00837D4A">
              <w:rPr>
                <w:rFonts w:ascii="Verdana" w:hAnsi="Verdana"/>
                <w:sz w:val="16"/>
                <w:szCs w:val="16"/>
                <w:lang w:val="en-US"/>
              </w:rPr>
              <w:t>Natural Gas Decompression and Regasification permits must be granted for a specific system, location or locations, and capacity, which must be included in the permit title issued by the Commission.</w:t>
            </w:r>
          </w:p>
        </w:tc>
      </w:tr>
      <w:tr w:rsidR="009849AC" w:rsidRPr="002C0F16" w14:paraId="7C9FDFCE" w14:textId="7041A32C" w:rsidTr="00F867DE">
        <w:tc>
          <w:tcPr>
            <w:tcW w:w="4711" w:type="dxa"/>
          </w:tcPr>
          <w:p w14:paraId="6EF308A7"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Artículo 122.</w:t>
            </w:r>
            <w:r w:rsidRPr="00837D4A">
              <w:rPr>
                <w:rFonts w:ascii="Verdana" w:hAnsi="Verdana"/>
                <w:sz w:val="16"/>
                <w:szCs w:val="16"/>
              </w:rPr>
              <w:t xml:space="preserve"> Las personas Permisionarias de Compresión, Descompresión, Licuefacción y Regasificación de Gas Natural son responsables del producto que manipulen desde su recepción y hasta su entrega, de conformidad con este reglamento y la Normatividad aplicable.</w:t>
            </w:r>
          </w:p>
        </w:tc>
        <w:tc>
          <w:tcPr>
            <w:tcW w:w="4649" w:type="dxa"/>
          </w:tcPr>
          <w:p w14:paraId="211DD243" w14:textId="516FDD13"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122. </w:t>
            </w:r>
            <w:r w:rsidRPr="00837D4A">
              <w:rPr>
                <w:rFonts w:ascii="Verdana" w:hAnsi="Verdana"/>
                <w:sz w:val="16"/>
                <w:szCs w:val="16"/>
                <w:lang w:val="en-US"/>
              </w:rPr>
              <w:t>Natural gas compression, decompression, liquefaction and regasification permit holders are responsible for the product they handle from its reception until its delivery, in accordance with this regulation and the applicable legislation.</w:t>
            </w:r>
          </w:p>
        </w:tc>
      </w:tr>
      <w:tr w:rsidR="009849AC" w:rsidRPr="00D0180E" w14:paraId="40DF58C2" w14:textId="101810CF" w:rsidTr="00F867DE">
        <w:tc>
          <w:tcPr>
            <w:tcW w:w="4711" w:type="dxa"/>
          </w:tcPr>
          <w:p w14:paraId="1C59ECD5" w14:textId="77777777" w:rsidR="009849AC" w:rsidRPr="00837D4A" w:rsidRDefault="009849AC" w:rsidP="009849AC">
            <w:pPr>
              <w:pStyle w:val="Texto"/>
              <w:spacing w:line="228" w:lineRule="exact"/>
              <w:ind w:firstLine="0"/>
              <w:jc w:val="center"/>
              <w:rPr>
                <w:rFonts w:ascii="Verdana" w:hAnsi="Verdana"/>
                <w:b/>
                <w:sz w:val="16"/>
                <w:szCs w:val="16"/>
              </w:rPr>
            </w:pPr>
            <w:r w:rsidRPr="00837D4A">
              <w:rPr>
                <w:rFonts w:ascii="Verdana" w:hAnsi="Verdana"/>
                <w:b/>
                <w:sz w:val="16"/>
                <w:szCs w:val="16"/>
              </w:rPr>
              <w:t>Sección Séptima</w:t>
            </w:r>
          </w:p>
        </w:tc>
        <w:tc>
          <w:tcPr>
            <w:tcW w:w="4649" w:type="dxa"/>
          </w:tcPr>
          <w:p w14:paraId="06499F15" w14:textId="7C37C474" w:rsidR="009849AC" w:rsidRPr="00837D4A" w:rsidRDefault="009849AC" w:rsidP="009849AC">
            <w:pPr>
              <w:pStyle w:val="Texto"/>
              <w:spacing w:line="228" w:lineRule="exact"/>
              <w:ind w:firstLine="0"/>
              <w:jc w:val="center"/>
              <w:rPr>
                <w:rFonts w:ascii="Verdana" w:hAnsi="Verdana"/>
                <w:b/>
                <w:sz w:val="16"/>
                <w:szCs w:val="16"/>
                <w:lang w:val="en-US"/>
              </w:rPr>
            </w:pPr>
            <w:r w:rsidRPr="00837D4A">
              <w:rPr>
                <w:rFonts w:ascii="Verdana" w:hAnsi="Verdana"/>
                <w:b/>
                <w:sz w:val="16"/>
                <w:szCs w:val="16"/>
                <w:lang w:val="en-US"/>
              </w:rPr>
              <w:t>Seventh Section</w:t>
            </w:r>
          </w:p>
        </w:tc>
      </w:tr>
      <w:tr w:rsidR="009849AC" w:rsidRPr="00D0180E" w14:paraId="2BF7FCE3" w14:textId="51689FDA" w:rsidTr="00F867DE">
        <w:tc>
          <w:tcPr>
            <w:tcW w:w="4711" w:type="dxa"/>
          </w:tcPr>
          <w:p w14:paraId="535CD8DA" w14:textId="77777777" w:rsidR="009849AC" w:rsidRPr="00837D4A" w:rsidRDefault="009849AC" w:rsidP="009849AC">
            <w:pPr>
              <w:pStyle w:val="Texto"/>
              <w:spacing w:line="228" w:lineRule="exact"/>
              <w:ind w:firstLine="0"/>
              <w:jc w:val="center"/>
              <w:rPr>
                <w:rFonts w:ascii="Verdana" w:hAnsi="Verdana"/>
                <w:b/>
                <w:sz w:val="16"/>
                <w:szCs w:val="16"/>
              </w:rPr>
            </w:pPr>
            <w:r w:rsidRPr="00837D4A">
              <w:rPr>
                <w:rFonts w:ascii="Verdana" w:hAnsi="Verdana"/>
                <w:b/>
                <w:sz w:val="16"/>
                <w:szCs w:val="16"/>
              </w:rPr>
              <w:t>Del Transporte</w:t>
            </w:r>
          </w:p>
        </w:tc>
        <w:tc>
          <w:tcPr>
            <w:tcW w:w="4649" w:type="dxa"/>
          </w:tcPr>
          <w:p w14:paraId="35C94304" w14:textId="4B80F11A" w:rsidR="009849AC" w:rsidRPr="00837D4A" w:rsidRDefault="009849AC" w:rsidP="009849AC">
            <w:pPr>
              <w:pStyle w:val="Texto"/>
              <w:spacing w:line="228" w:lineRule="exact"/>
              <w:ind w:firstLine="0"/>
              <w:jc w:val="center"/>
              <w:rPr>
                <w:rFonts w:ascii="Verdana" w:hAnsi="Verdana"/>
                <w:b/>
                <w:sz w:val="16"/>
                <w:szCs w:val="16"/>
                <w:lang w:val="en-US"/>
              </w:rPr>
            </w:pPr>
            <w:r w:rsidRPr="00837D4A">
              <w:rPr>
                <w:rFonts w:ascii="Verdana" w:hAnsi="Verdana"/>
                <w:b/>
                <w:sz w:val="16"/>
                <w:szCs w:val="16"/>
                <w:lang w:val="en-US"/>
              </w:rPr>
              <w:t>Transportation</w:t>
            </w:r>
          </w:p>
        </w:tc>
      </w:tr>
      <w:tr w:rsidR="009849AC" w:rsidRPr="002C0F16" w14:paraId="0B840A2A" w14:textId="051CBB9C" w:rsidTr="00F867DE">
        <w:tc>
          <w:tcPr>
            <w:tcW w:w="4711" w:type="dxa"/>
          </w:tcPr>
          <w:p w14:paraId="63AD5433"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 xml:space="preserve">Artículo 123. </w:t>
            </w:r>
            <w:r w:rsidRPr="00837D4A">
              <w:rPr>
                <w:rFonts w:ascii="Verdana" w:hAnsi="Verdana"/>
                <w:sz w:val="16"/>
                <w:szCs w:val="16"/>
              </w:rPr>
              <w:t xml:space="preserve">El Transporte de Hidrocarburos, Petrolíferos y Petroquímicos se puede realizar por medio de Ductos, </w:t>
            </w:r>
            <w:proofErr w:type="spellStart"/>
            <w:r w:rsidRPr="00837D4A">
              <w:rPr>
                <w:rFonts w:ascii="Verdana" w:hAnsi="Verdana"/>
                <w:sz w:val="16"/>
                <w:szCs w:val="16"/>
              </w:rPr>
              <w:t>Auto-tanques</w:t>
            </w:r>
            <w:proofErr w:type="spellEnd"/>
            <w:r w:rsidRPr="00837D4A">
              <w:rPr>
                <w:rFonts w:ascii="Verdana" w:hAnsi="Verdana"/>
                <w:sz w:val="16"/>
                <w:szCs w:val="16"/>
              </w:rPr>
              <w:t>, Semirremolques, Carro-tanques o Buque-tanques, así como en los demás medios que establezcan la Secretaría y la Comisión, en el ámbito de su competencia, en la Normatividad aplicable, y sujetarse a los términos que establezca la misma.</w:t>
            </w:r>
          </w:p>
        </w:tc>
        <w:tc>
          <w:tcPr>
            <w:tcW w:w="4649" w:type="dxa"/>
          </w:tcPr>
          <w:p w14:paraId="3A560A44" w14:textId="117B570C"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123. </w:t>
            </w:r>
            <w:r w:rsidRPr="00837D4A">
              <w:rPr>
                <w:rFonts w:ascii="Verdana" w:hAnsi="Verdana"/>
                <w:sz w:val="16"/>
                <w:szCs w:val="16"/>
                <w:lang w:val="en-US"/>
              </w:rPr>
              <w:t>The transportation of hydrocarbons, petroleum products and petrochemicals may be carried out by means of pipelines, tank trucks, semi-trailers, tank cars or tank ships, as well as by other means established by the Secretary and the Commission, within the scope of their competence, in the applicable legislation, and subject to the terms established by the same.</w:t>
            </w:r>
          </w:p>
        </w:tc>
      </w:tr>
      <w:tr w:rsidR="009849AC" w:rsidRPr="002C0F16" w14:paraId="3CF6D34F" w14:textId="11D4AE32" w:rsidTr="00F867DE">
        <w:tc>
          <w:tcPr>
            <w:tcW w:w="4711" w:type="dxa"/>
          </w:tcPr>
          <w:p w14:paraId="6386945E"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 xml:space="preserve">Artículo 124. </w:t>
            </w:r>
            <w:r w:rsidRPr="00837D4A">
              <w:rPr>
                <w:rFonts w:ascii="Verdana" w:hAnsi="Verdana"/>
                <w:sz w:val="16"/>
                <w:szCs w:val="16"/>
              </w:rPr>
              <w:t>La Comisión debe emitir los permisos de Transporte por medio de Ductos bajo la modalidad de Usos Propios en los términos previstos en la Ley, el presente reglamento y la demás Normatividad aplicable.</w:t>
            </w:r>
          </w:p>
        </w:tc>
        <w:tc>
          <w:tcPr>
            <w:tcW w:w="4649" w:type="dxa"/>
          </w:tcPr>
          <w:p w14:paraId="272B5F53" w14:textId="470464EF"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124. </w:t>
            </w:r>
            <w:r w:rsidRPr="00837D4A">
              <w:rPr>
                <w:rFonts w:ascii="Verdana" w:hAnsi="Verdana"/>
                <w:sz w:val="16"/>
                <w:szCs w:val="16"/>
                <w:lang w:val="en-US"/>
              </w:rPr>
              <w:t>The Commission must issue permits for Transportation through Pipelines under the Own Use modality in the terms provided in the Law, this Regulation and other applicable legislation.</w:t>
            </w:r>
          </w:p>
        </w:tc>
      </w:tr>
      <w:tr w:rsidR="009849AC" w:rsidRPr="002C0F16" w14:paraId="20258DD1" w14:textId="45F4BE9B" w:rsidTr="00F867DE">
        <w:tc>
          <w:tcPr>
            <w:tcW w:w="4711" w:type="dxa"/>
          </w:tcPr>
          <w:p w14:paraId="64154C86"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 xml:space="preserve">Artículo 125. </w:t>
            </w:r>
            <w:r w:rsidRPr="00837D4A">
              <w:rPr>
                <w:rFonts w:ascii="Verdana" w:hAnsi="Verdana"/>
                <w:sz w:val="16"/>
                <w:szCs w:val="16"/>
              </w:rPr>
              <w:t>Las personas Transportistas son responsables de medir y conservar la calidad y cantidad del producto que transporten, desde su recepción y hasta la entrega a la persona Usuaria o Usuaria Final, de conformidad con la Normatividad aplicable.</w:t>
            </w:r>
          </w:p>
        </w:tc>
        <w:tc>
          <w:tcPr>
            <w:tcW w:w="4649" w:type="dxa"/>
          </w:tcPr>
          <w:p w14:paraId="594116C6" w14:textId="4242E5FB"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125. </w:t>
            </w:r>
            <w:r w:rsidRPr="00837D4A">
              <w:rPr>
                <w:rFonts w:ascii="Verdana" w:hAnsi="Verdana"/>
                <w:sz w:val="16"/>
                <w:szCs w:val="16"/>
                <w:lang w:val="en-US"/>
              </w:rPr>
              <w:t>Transporters are responsible for measuring and preserving the quality and quantity of the product they transport, from its reception until its delivery to the user or end user, in accordance with the applicable legislation.</w:t>
            </w:r>
          </w:p>
        </w:tc>
      </w:tr>
      <w:tr w:rsidR="009849AC" w:rsidRPr="002C0F16" w14:paraId="30E7B37D" w14:textId="31139B4C" w:rsidTr="00F867DE">
        <w:tc>
          <w:tcPr>
            <w:tcW w:w="4711" w:type="dxa"/>
          </w:tcPr>
          <w:p w14:paraId="5BBE5C4C"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 xml:space="preserve">Artículo 126. </w:t>
            </w:r>
            <w:r w:rsidRPr="00837D4A">
              <w:rPr>
                <w:rFonts w:ascii="Verdana" w:hAnsi="Verdana"/>
                <w:sz w:val="16"/>
                <w:szCs w:val="16"/>
              </w:rPr>
              <w:t>Cada permiso de Transporte por medio de Ductos debe ser otorgado para un Sistema y Trayecto específicos en territorio nacional y una capacidad determinada y deben quedar contenidos en el título de permiso que expida la Secretaría o la Comisión.</w:t>
            </w:r>
          </w:p>
        </w:tc>
        <w:tc>
          <w:tcPr>
            <w:tcW w:w="4649" w:type="dxa"/>
          </w:tcPr>
          <w:p w14:paraId="583985A1" w14:textId="5CFB6493"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126. </w:t>
            </w:r>
            <w:r w:rsidRPr="00837D4A">
              <w:rPr>
                <w:rFonts w:ascii="Verdana" w:hAnsi="Verdana"/>
                <w:sz w:val="16"/>
                <w:szCs w:val="16"/>
                <w:lang w:val="en-US"/>
              </w:rPr>
              <w:t>Each Pipeline Transportation permit must be granted for a specific system and route in national territory and a specific capacity and must be included in the permit title issued by the Secretary or the Commission.</w:t>
            </w:r>
          </w:p>
        </w:tc>
      </w:tr>
      <w:tr w:rsidR="009849AC" w:rsidRPr="002C0F16" w14:paraId="287AEC84" w14:textId="31C85538" w:rsidTr="00F867DE">
        <w:tc>
          <w:tcPr>
            <w:tcW w:w="4711" w:type="dxa"/>
          </w:tcPr>
          <w:p w14:paraId="43DDA11F"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sz w:val="16"/>
                <w:szCs w:val="16"/>
              </w:rPr>
              <w:t xml:space="preserve">El Transporte por medios distintos a Ductos se debe otorgar para cualquier destino del territorio nacional y </w:t>
            </w:r>
            <w:r w:rsidRPr="00837D4A">
              <w:rPr>
                <w:rFonts w:ascii="Verdana" w:hAnsi="Verdana"/>
                <w:sz w:val="16"/>
                <w:szCs w:val="16"/>
              </w:rPr>
              <w:lastRenderedPageBreak/>
              <w:t>deben quedar contenidos en el título de permiso que expida la Secretaría o la Comisión, conforme a la Normatividad que se emita, la cual debe considerar, entre otros aspectos, las características del proyecto y los compromisos de inversión que vaya a realizar la persona Permisionaria.</w:t>
            </w:r>
          </w:p>
        </w:tc>
        <w:tc>
          <w:tcPr>
            <w:tcW w:w="4649" w:type="dxa"/>
          </w:tcPr>
          <w:p w14:paraId="6D7A161D" w14:textId="727FA49A" w:rsidR="009849AC" w:rsidRPr="00837D4A" w:rsidRDefault="009849AC" w:rsidP="009849AC">
            <w:pPr>
              <w:pStyle w:val="Texto"/>
              <w:spacing w:line="228" w:lineRule="exact"/>
              <w:ind w:firstLine="0"/>
              <w:rPr>
                <w:rFonts w:ascii="Verdana" w:hAnsi="Verdana"/>
                <w:sz w:val="16"/>
                <w:szCs w:val="16"/>
                <w:lang w:val="en-US"/>
              </w:rPr>
            </w:pPr>
            <w:r w:rsidRPr="00837D4A">
              <w:rPr>
                <w:rFonts w:ascii="Verdana" w:hAnsi="Verdana"/>
                <w:sz w:val="16"/>
                <w:szCs w:val="16"/>
                <w:lang w:val="en-US"/>
              </w:rPr>
              <w:lastRenderedPageBreak/>
              <w:t xml:space="preserve">Transportation by means other than pipelines must be granted for any destination within the national territory </w:t>
            </w:r>
            <w:r w:rsidRPr="00837D4A">
              <w:rPr>
                <w:rFonts w:ascii="Verdana" w:hAnsi="Verdana"/>
                <w:sz w:val="16"/>
                <w:szCs w:val="16"/>
                <w:lang w:val="en-US"/>
              </w:rPr>
              <w:lastRenderedPageBreak/>
              <w:t>and must be included in the permit issued by the Secretary or the Commission, in accordance with the Regulation issued, which must consider, among other aspects, the characteristics of the project and the investment commitments to be made by the permit holder.</w:t>
            </w:r>
          </w:p>
        </w:tc>
      </w:tr>
      <w:tr w:rsidR="009849AC" w:rsidRPr="002C0F16" w14:paraId="6AB3A607" w14:textId="7FAF4F64" w:rsidTr="00F867DE">
        <w:tc>
          <w:tcPr>
            <w:tcW w:w="4711" w:type="dxa"/>
          </w:tcPr>
          <w:p w14:paraId="0ED05E05"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sz w:val="16"/>
                <w:szCs w:val="16"/>
              </w:rPr>
              <w:lastRenderedPageBreak/>
              <w:t>Las personas Permisionarias de Transporte de Gas Natural por medios distintos a Ductos no pueden prestar servicios a otras personas Permisionarias de Transporte o Distribución por medios distintos a Ductos, ni permitir el traslado del Gas Natural por una tercera persona distinta a la persona Permisionaria.</w:t>
            </w:r>
          </w:p>
        </w:tc>
        <w:tc>
          <w:tcPr>
            <w:tcW w:w="4649" w:type="dxa"/>
          </w:tcPr>
          <w:p w14:paraId="0385AF16" w14:textId="2AFCE0BC" w:rsidR="009849AC" w:rsidRPr="00837D4A" w:rsidRDefault="009849AC" w:rsidP="009849AC">
            <w:pPr>
              <w:pStyle w:val="Texto"/>
              <w:spacing w:line="228" w:lineRule="exact"/>
              <w:ind w:firstLine="0"/>
              <w:rPr>
                <w:rFonts w:ascii="Verdana" w:hAnsi="Verdana"/>
                <w:sz w:val="16"/>
                <w:szCs w:val="16"/>
                <w:lang w:val="en-US"/>
              </w:rPr>
            </w:pPr>
            <w:r w:rsidRPr="00837D4A">
              <w:rPr>
                <w:rFonts w:ascii="Verdana" w:hAnsi="Verdana"/>
                <w:sz w:val="16"/>
                <w:szCs w:val="16"/>
                <w:lang w:val="en-US"/>
              </w:rPr>
              <w:t>Natural Gas Transportation Permit Holders by means other than pipelines may not provide services to other Transportation or Distribution Permit Holders by means other than pipelines, nor allow the transportation of natural gas by a third party other than the Permit Holder.</w:t>
            </w:r>
          </w:p>
        </w:tc>
      </w:tr>
      <w:tr w:rsidR="009849AC" w:rsidRPr="002C0F16" w14:paraId="45BB992C" w14:textId="3A9A86EE" w:rsidTr="00F867DE">
        <w:tc>
          <w:tcPr>
            <w:tcW w:w="4711" w:type="dxa"/>
          </w:tcPr>
          <w:p w14:paraId="08F54DF0"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sz w:val="16"/>
                <w:szCs w:val="16"/>
              </w:rPr>
              <w:t>Las personas Permisionarias de Transporte por medio de Ductos están obligadas a dar Acceso Abierto No Indebidamente Discriminatorio a sus Sistemas y a prestar a terceras personas los servicios de Transporte, conforme a lo previsto en la Ley y el presente reglamento.</w:t>
            </w:r>
          </w:p>
        </w:tc>
        <w:tc>
          <w:tcPr>
            <w:tcW w:w="4649" w:type="dxa"/>
          </w:tcPr>
          <w:p w14:paraId="55372B2E" w14:textId="487F064C" w:rsidR="009849AC" w:rsidRPr="00837D4A" w:rsidRDefault="009849AC" w:rsidP="009849AC">
            <w:pPr>
              <w:pStyle w:val="Texto"/>
              <w:spacing w:line="228" w:lineRule="exact"/>
              <w:ind w:firstLine="0"/>
              <w:rPr>
                <w:rFonts w:ascii="Verdana" w:hAnsi="Verdana"/>
                <w:sz w:val="16"/>
                <w:szCs w:val="16"/>
                <w:lang w:val="en-US"/>
              </w:rPr>
            </w:pPr>
            <w:r w:rsidRPr="00837D4A">
              <w:rPr>
                <w:rFonts w:ascii="Verdana" w:hAnsi="Verdana"/>
                <w:sz w:val="16"/>
                <w:szCs w:val="16"/>
                <w:lang w:val="en-US"/>
              </w:rPr>
              <w:t>Transportation Permit Holders via Pipelines are required to provide open access that is not unduly discriminatory to their systems and to provide transportation services to third parties, in accordance with the provisions of the Law and this Regulation.</w:t>
            </w:r>
          </w:p>
        </w:tc>
      </w:tr>
      <w:tr w:rsidR="009849AC" w:rsidRPr="002C0F16" w14:paraId="3D50A6A8" w14:textId="408071EE" w:rsidTr="00F867DE">
        <w:tc>
          <w:tcPr>
            <w:tcW w:w="4711" w:type="dxa"/>
          </w:tcPr>
          <w:p w14:paraId="48F01489"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 xml:space="preserve">Artículo 127. </w:t>
            </w:r>
            <w:r w:rsidRPr="00837D4A">
              <w:rPr>
                <w:rFonts w:ascii="Verdana" w:hAnsi="Verdana"/>
                <w:sz w:val="16"/>
                <w:szCs w:val="16"/>
              </w:rPr>
              <w:t>Los Sistemas de Transporte por medio de Ductos pueden integrar, en su caso, instalaciones para la recepción y entrega del producto, cuando dichas instalaciones se vinculen directa y exclusivamente con la prestación del servicio de Transporte.</w:t>
            </w:r>
          </w:p>
        </w:tc>
        <w:tc>
          <w:tcPr>
            <w:tcW w:w="4649" w:type="dxa"/>
          </w:tcPr>
          <w:p w14:paraId="1A9F98B8" w14:textId="34D366DF"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127. </w:t>
            </w:r>
            <w:r w:rsidRPr="00837D4A">
              <w:rPr>
                <w:rFonts w:ascii="Verdana" w:hAnsi="Verdana"/>
                <w:sz w:val="16"/>
                <w:szCs w:val="16"/>
                <w:lang w:val="en-US"/>
              </w:rPr>
              <w:t>Pipeline Transportation Systems may, where appropriate, include facilities for the reception and delivery of the product, when said facilities are directly and exclusively linked to the provision of the transportation service.</w:t>
            </w:r>
          </w:p>
        </w:tc>
      </w:tr>
      <w:tr w:rsidR="009849AC" w:rsidRPr="002C0F16" w14:paraId="27A88AD4" w14:textId="77B29BD7" w:rsidTr="00F867DE">
        <w:tc>
          <w:tcPr>
            <w:tcW w:w="4711" w:type="dxa"/>
          </w:tcPr>
          <w:p w14:paraId="5A166188"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sz w:val="16"/>
                <w:szCs w:val="16"/>
              </w:rPr>
              <w:t>Las instalaciones de recepción y entrega a que se refiere el presente artículo no confieren el derecho de prestar el servicio de Almacenamiento o de llevar a cabo alguna otra actividad distinta al Transporte.</w:t>
            </w:r>
          </w:p>
        </w:tc>
        <w:tc>
          <w:tcPr>
            <w:tcW w:w="4649" w:type="dxa"/>
          </w:tcPr>
          <w:p w14:paraId="1A116E82" w14:textId="7B669484" w:rsidR="009849AC" w:rsidRPr="00837D4A" w:rsidRDefault="009849AC" w:rsidP="009849AC">
            <w:pPr>
              <w:pStyle w:val="Texto"/>
              <w:spacing w:line="228" w:lineRule="exact"/>
              <w:ind w:firstLine="0"/>
              <w:rPr>
                <w:rFonts w:ascii="Verdana" w:hAnsi="Verdana"/>
                <w:sz w:val="16"/>
                <w:szCs w:val="16"/>
                <w:lang w:val="en-US"/>
              </w:rPr>
            </w:pPr>
            <w:r w:rsidRPr="00837D4A">
              <w:rPr>
                <w:rFonts w:ascii="Verdana" w:hAnsi="Verdana"/>
                <w:sz w:val="16"/>
                <w:szCs w:val="16"/>
                <w:lang w:val="en-US"/>
              </w:rPr>
              <w:t>The reception and delivery facilities referred to in this article do not confer the right to provide storage services or to carry out any activity other than transportation.</w:t>
            </w:r>
          </w:p>
        </w:tc>
      </w:tr>
      <w:tr w:rsidR="009849AC" w:rsidRPr="00D0180E" w14:paraId="20190E3A" w14:textId="29C93E2E" w:rsidTr="00F867DE">
        <w:tc>
          <w:tcPr>
            <w:tcW w:w="4711" w:type="dxa"/>
          </w:tcPr>
          <w:p w14:paraId="07E2BA7D" w14:textId="77777777" w:rsidR="009849AC" w:rsidRPr="00837D4A" w:rsidRDefault="009849AC" w:rsidP="009849AC">
            <w:pPr>
              <w:pStyle w:val="Texto"/>
              <w:spacing w:line="228" w:lineRule="exact"/>
              <w:ind w:firstLine="0"/>
              <w:jc w:val="center"/>
              <w:rPr>
                <w:rFonts w:ascii="Verdana" w:hAnsi="Verdana"/>
                <w:b/>
                <w:sz w:val="16"/>
                <w:szCs w:val="16"/>
              </w:rPr>
            </w:pPr>
            <w:r w:rsidRPr="00837D4A">
              <w:rPr>
                <w:rFonts w:ascii="Verdana" w:hAnsi="Verdana"/>
                <w:b/>
                <w:sz w:val="16"/>
                <w:szCs w:val="16"/>
              </w:rPr>
              <w:t>Sección Octava</w:t>
            </w:r>
          </w:p>
        </w:tc>
        <w:tc>
          <w:tcPr>
            <w:tcW w:w="4649" w:type="dxa"/>
          </w:tcPr>
          <w:p w14:paraId="28633318" w14:textId="19373FCD" w:rsidR="009849AC" w:rsidRPr="00837D4A" w:rsidRDefault="009849AC" w:rsidP="009849AC">
            <w:pPr>
              <w:pStyle w:val="Texto"/>
              <w:spacing w:line="228" w:lineRule="exact"/>
              <w:ind w:firstLine="0"/>
              <w:jc w:val="center"/>
              <w:rPr>
                <w:rFonts w:ascii="Verdana" w:hAnsi="Verdana"/>
                <w:b/>
                <w:sz w:val="16"/>
                <w:szCs w:val="16"/>
                <w:lang w:val="en-US"/>
              </w:rPr>
            </w:pPr>
            <w:r w:rsidRPr="00837D4A">
              <w:rPr>
                <w:rFonts w:ascii="Verdana" w:hAnsi="Verdana"/>
                <w:b/>
                <w:sz w:val="16"/>
                <w:szCs w:val="16"/>
                <w:lang w:val="en-US"/>
              </w:rPr>
              <w:t>Eighth Section</w:t>
            </w:r>
          </w:p>
        </w:tc>
      </w:tr>
      <w:tr w:rsidR="009849AC" w:rsidRPr="00D0180E" w14:paraId="447076A4" w14:textId="00ABE508" w:rsidTr="00F867DE">
        <w:tc>
          <w:tcPr>
            <w:tcW w:w="4711" w:type="dxa"/>
          </w:tcPr>
          <w:p w14:paraId="7C437F1D" w14:textId="77777777" w:rsidR="009849AC" w:rsidRPr="00837D4A" w:rsidRDefault="009849AC" w:rsidP="009849AC">
            <w:pPr>
              <w:pStyle w:val="Texto"/>
              <w:spacing w:line="228" w:lineRule="exact"/>
              <w:ind w:firstLine="0"/>
              <w:jc w:val="center"/>
              <w:rPr>
                <w:rFonts w:ascii="Verdana" w:hAnsi="Verdana"/>
                <w:b/>
                <w:sz w:val="16"/>
                <w:szCs w:val="16"/>
              </w:rPr>
            </w:pPr>
            <w:r w:rsidRPr="00837D4A">
              <w:rPr>
                <w:rFonts w:ascii="Verdana" w:hAnsi="Verdana"/>
                <w:b/>
                <w:sz w:val="16"/>
                <w:szCs w:val="16"/>
              </w:rPr>
              <w:t>De la Distribución</w:t>
            </w:r>
          </w:p>
        </w:tc>
        <w:tc>
          <w:tcPr>
            <w:tcW w:w="4649" w:type="dxa"/>
          </w:tcPr>
          <w:p w14:paraId="5D7E180E" w14:textId="77975C48" w:rsidR="009849AC" w:rsidRPr="00837D4A" w:rsidRDefault="009849AC" w:rsidP="009849AC">
            <w:pPr>
              <w:pStyle w:val="Texto"/>
              <w:spacing w:line="228" w:lineRule="exact"/>
              <w:ind w:firstLine="0"/>
              <w:jc w:val="center"/>
              <w:rPr>
                <w:rFonts w:ascii="Verdana" w:hAnsi="Verdana"/>
                <w:b/>
                <w:sz w:val="16"/>
                <w:szCs w:val="16"/>
                <w:lang w:val="en-US"/>
              </w:rPr>
            </w:pPr>
            <w:r w:rsidRPr="00837D4A">
              <w:rPr>
                <w:rFonts w:ascii="Verdana" w:hAnsi="Verdana"/>
                <w:b/>
                <w:sz w:val="16"/>
                <w:szCs w:val="16"/>
                <w:lang w:val="en-US"/>
              </w:rPr>
              <w:t>Distribution</w:t>
            </w:r>
          </w:p>
        </w:tc>
      </w:tr>
      <w:tr w:rsidR="009849AC" w:rsidRPr="002C0F16" w14:paraId="55D1FC93" w14:textId="496DBB1C" w:rsidTr="00F867DE">
        <w:tc>
          <w:tcPr>
            <w:tcW w:w="4711" w:type="dxa"/>
          </w:tcPr>
          <w:p w14:paraId="29845C34"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 xml:space="preserve">Artículo 128. </w:t>
            </w:r>
            <w:r w:rsidRPr="00837D4A">
              <w:rPr>
                <w:rFonts w:ascii="Verdana" w:hAnsi="Verdana"/>
                <w:sz w:val="16"/>
                <w:szCs w:val="16"/>
              </w:rPr>
              <w:t xml:space="preserve">La Distribución puede llevarse a cabo mediante Ductos, </w:t>
            </w:r>
            <w:proofErr w:type="spellStart"/>
            <w:r w:rsidRPr="00837D4A">
              <w:rPr>
                <w:rFonts w:ascii="Verdana" w:hAnsi="Verdana"/>
                <w:sz w:val="16"/>
                <w:szCs w:val="16"/>
              </w:rPr>
              <w:t>Auto-tanques</w:t>
            </w:r>
            <w:proofErr w:type="spellEnd"/>
            <w:r w:rsidRPr="00837D4A">
              <w:rPr>
                <w:rFonts w:ascii="Verdana" w:hAnsi="Verdana"/>
                <w:sz w:val="16"/>
                <w:szCs w:val="16"/>
              </w:rPr>
              <w:t>, Semirremolques, Vehículos de Reparto, Recipientes Portátiles, Recipientes Transportables sujetos a presión, así como los demás medios que establezca la Comisión en la Normatividad aplicable, que incluye instalaciones para la Guarda, recepción y entrega para su venta a las personas Permisionarias de Expendio al Público o personas Usuarias Finales, o su entrega a las personas Usuarias que contraten la prestación del servicio, en términos de la Ley, del presente reglamento y demás Normatividad aplicable.</w:t>
            </w:r>
          </w:p>
        </w:tc>
        <w:tc>
          <w:tcPr>
            <w:tcW w:w="4649" w:type="dxa"/>
          </w:tcPr>
          <w:p w14:paraId="11B0074D" w14:textId="348A33EE"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128. </w:t>
            </w:r>
            <w:r w:rsidRPr="00837D4A">
              <w:rPr>
                <w:rFonts w:ascii="Verdana" w:hAnsi="Verdana"/>
                <w:sz w:val="16"/>
                <w:szCs w:val="16"/>
                <w:lang w:val="en-US"/>
              </w:rPr>
              <w:t>Distribution may be carried out by means of pipelines, tank trucks, semi-trailers, delivery vehicles, portable containers, transportable containers subject to pressure, as well as other means established by the Commission in the applicable legislation, which includes facilities for storage, reception and delivery for sale to the Public Sale Permit Holders or End Users, or delivery to users who contract the provision of the service, in accordance with the Law, this Regulation and other applicable legislation.</w:t>
            </w:r>
          </w:p>
        </w:tc>
      </w:tr>
      <w:tr w:rsidR="009849AC" w:rsidRPr="002C0F16" w14:paraId="10A57A1D" w14:textId="2914DE8E" w:rsidTr="00F867DE">
        <w:tc>
          <w:tcPr>
            <w:tcW w:w="4711" w:type="dxa"/>
          </w:tcPr>
          <w:p w14:paraId="73D36A64"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sz w:val="16"/>
                <w:szCs w:val="16"/>
              </w:rPr>
              <w:t xml:space="preserve">Los vehículos tales como </w:t>
            </w:r>
            <w:proofErr w:type="spellStart"/>
            <w:r w:rsidRPr="00837D4A">
              <w:rPr>
                <w:rFonts w:ascii="Verdana" w:hAnsi="Verdana"/>
                <w:sz w:val="16"/>
                <w:szCs w:val="16"/>
              </w:rPr>
              <w:t>Auto-tanques</w:t>
            </w:r>
            <w:proofErr w:type="spellEnd"/>
            <w:r w:rsidRPr="00837D4A">
              <w:rPr>
                <w:rFonts w:ascii="Verdana" w:hAnsi="Verdana"/>
                <w:sz w:val="16"/>
                <w:szCs w:val="16"/>
              </w:rPr>
              <w:t xml:space="preserve"> o Vehículos de Reparto destinados a la Distribución por medios distintos a Ductos de Gas Licuado de Petróleo, incluidos los que se estacionen o pernocten dentro de la Central de Resguardo, deben contar con póliza de seguros con cobertura de daños a terceros vigente en términos de la Normatividad emitida por la Agencia.</w:t>
            </w:r>
          </w:p>
        </w:tc>
        <w:tc>
          <w:tcPr>
            <w:tcW w:w="4649" w:type="dxa"/>
          </w:tcPr>
          <w:p w14:paraId="20AAAF4D" w14:textId="7A786A1C" w:rsidR="009849AC" w:rsidRPr="00837D4A" w:rsidRDefault="009849AC" w:rsidP="009849AC">
            <w:pPr>
              <w:pStyle w:val="Texto"/>
              <w:spacing w:line="228" w:lineRule="exact"/>
              <w:ind w:firstLine="0"/>
              <w:rPr>
                <w:rFonts w:ascii="Verdana" w:hAnsi="Verdana"/>
                <w:sz w:val="16"/>
                <w:szCs w:val="16"/>
                <w:lang w:val="en-US"/>
              </w:rPr>
            </w:pPr>
            <w:r w:rsidRPr="00837D4A">
              <w:rPr>
                <w:rFonts w:ascii="Verdana" w:hAnsi="Verdana"/>
                <w:sz w:val="16"/>
                <w:szCs w:val="16"/>
                <w:lang w:val="en-US"/>
              </w:rPr>
              <w:t>Vehicles such as tank trucks or delivery vehicles intended for distribution by means other than liquefied petroleum gas pipelines, including those parked or overnight within the storage center, must have a valid insurance policy with third-party damage coverage in accordance with the Regulation issued by the Agency.</w:t>
            </w:r>
          </w:p>
        </w:tc>
      </w:tr>
      <w:tr w:rsidR="009849AC" w:rsidRPr="002C0F16" w14:paraId="3B6CE61B" w14:textId="4F13DBE9" w:rsidTr="00F867DE">
        <w:tc>
          <w:tcPr>
            <w:tcW w:w="4711" w:type="dxa"/>
          </w:tcPr>
          <w:p w14:paraId="374A60B6"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Para efectos de la actividad de Distribución se debe entender por:</w:t>
            </w:r>
          </w:p>
        </w:tc>
        <w:tc>
          <w:tcPr>
            <w:tcW w:w="4649" w:type="dxa"/>
          </w:tcPr>
          <w:p w14:paraId="47E869AA" w14:textId="4B3692B8"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For the purposes of the distribution activity, the following terms should be understood as:</w:t>
            </w:r>
          </w:p>
        </w:tc>
      </w:tr>
      <w:tr w:rsidR="009849AC" w:rsidRPr="002C0F16" w14:paraId="1B47B0F6" w14:textId="3A2A6770" w:rsidTr="00F867DE">
        <w:tc>
          <w:tcPr>
            <w:tcW w:w="4711" w:type="dxa"/>
          </w:tcPr>
          <w:p w14:paraId="5BC4784B"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 xml:space="preserve">Conducción: Acción de desplazar Gas Natural o Petrolíferos a través de Ductos desde uno o más puntos </w:t>
            </w:r>
            <w:r w:rsidRPr="00837D4A">
              <w:rPr>
                <w:rFonts w:ascii="Verdana" w:hAnsi="Verdana"/>
                <w:sz w:val="16"/>
                <w:szCs w:val="16"/>
              </w:rPr>
              <w:lastRenderedPageBreak/>
              <w:t>de origen a uno o más puntos de destino a través de un Trayecto definido, y</w:t>
            </w:r>
          </w:p>
        </w:tc>
        <w:tc>
          <w:tcPr>
            <w:tcW w:w="4649" w:type="dxa"/>
          </w:tcPr>
          <w:p w14:paraId="07CF14E0" w14:textId="635E7C0D"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lastRenderedPageBreak/>
              <w:t xml:space="preserve">I. </w:t>
            </w:r>
            <w:r w:rsidRPr="00837D4A">
              <w:rPr>
                <w:rFonts w:ascii="Verdana" w:hAnsi="Verdana"/>
                <w:b/>
                <w:sz w:val="16"/>
                <w:szCs w:val="16"/>
                <w:lang w:val="en-US"/>
              </w:rPr>
              <w:tab/>
            </w:r>
            <w:r w:rsidRPr="00837D4A">
              <w:rPr>
                <w:rFonts w:ascii="Verdana" w:hAnsi="Verdana"/>
                <w:sz w:val="16"/>
                <w:szCs w:val="16"/>
                <w:lang w:val="en-US"/>
              </w:rPr>
              <w:t xml:space="preserve">Conduction: Action of moving natural gas or petroleum products through pipelines from one or more </w:t>
            </w:r>
            <w:r w:rsidRPr="00837D4A">
              <w:rPr>
                <w:rFonts w:ascii="Verdana" w:hAnsi="Verdana"/>
                <w:sz w:val="16"/>
                <w:szCs w:val="16"/>
                <w:lang w:val="en-US"/>
              </w:rPr>
              <w:lastRenderedPageBreak/>
              <w:t>points of origin to one or more points of destination through a defined Route, and</w:t>
            </w:r>
          </w:p>
        </w:tc>
      </w:tr>
      <w:tr w:rsidR="009849AC" w:rsidRPr="002C0F16" w14:paraId="01AA9A6B" w14:textId="2E60790B" w:rsidTr="00F867DE">
        <w:tc>
          <w:tcPr>
            <w:tcW w:w="4711" w:type="dxa"/>
          </w:tcPr>
          <w:p w14:paraId="285C8D6F"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lastRenderedPageBreak/>
              <w:t>II.</w:t>
            </w:r>
            <w:r w:rsidRPr="00837D4A">
              <w:rPr>
                <w:rFonts w:ascii="Verdana" w:hAnsi="Verdana"/>
                <w:b/>
                <w:sz w:val="16"/>
                <w:szCs w:val="16"/>
              </w:rPr>
              <w:tab/>
            </w:r>
            <w:r w:rsidRPr="00837D4A">
              <w:rPr>
                <w:rFonts w:ascii="Verdana" w:hAnsi="Verdana"/>
                <w:sz w:val="16"/>
                <w:szCs w:val="16"/>
              </w:rPr>
              <w:t>Traslado: Acción de desplazar Gas Natural o Petrolíferos a través de</w:t>
            </w:r>
            <w:r w:rsidRPr="00837D4A">
              <w:rPr>
                <w:rFonts w:ascii="Verdana" w:hAnsi="Verdana"/>
                <w:b/>
                <w:sz w:val="16"/>
                <w:szCs w:val="16"/>
              </w:rPr>
              <w:t xml:space="preserve"> </w:t>
            </w:r>
            <w:r w:rsidRPr="00837D4A">
              <w:rPr>
                <w:rFonts w:ascii="Verdana" w:hAnsi="Verdana"/>
                <w:sz w:val="16"/>
                <w:szCs w:val="16"/>
              </w:rPr>
              <w:t>Recipientes Transportables sujetos a presión, Recipientes Portátiles, o Recipientes Transportables no sujetos a presión desde uno o más puntos de origen a uno o más puntos de destino específicos a través de Rutas definidas.</w:t>
            </w:r>
          </w:p>
        </w:tc>
        <w:tc>
          <w:tcPr>
            <w:tcW w:w="4649" w:type="dxa"/>
          </w:tcPr>
          <w:p w14:paraId="46106028" w14:textId="13D8A9B3"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Transfer: Action of moving natural gas or petroleum products through</w:t>
            </w:r>
            <w:r w:rsidRPr="00837D4A">
              <w:rPr>
                <w:rFonts w:ascii="Verdana" w:hAnsi="Verdana"/>
                <w:b/>
                <w:sz w:val="16"/>
                <w:szCs w:val="16"/>
                <w:lang w:val="en-US"/>
              </w:rPr>
              <w:t xml:space="preserve"> </w:t>
            </w:r>
            <w:r w:rsidRPr="00837D4A">
              <w:rPr>
                <w:rFonts w:ascii="Verdana" w:hAnsi="Verdana"/>
                <w:sz w:val="16"/>
                <w:szCs w:val="16"/>
                <w:lang w:val="en-US"/>
              </w:rPr>
              <w:t>transportable vessels subject to pressure, portable vessels, or transportable vessels not subject to pressure from one or more points of origin to one or more specific destination points via defined routes.</w:t>
            </w:r>
          </w:p>
        </w:tc>
      </w:tr>
      <w:tr w:rsidR="009849AC" w:rsidRPr="002C0F16" w14:paraId="60C121E2" w14:textId="7D45AB1B" w:rsidTr="00F867DE">
        <w:tc>
          <w:tcPr>
            <w:tcW w:w="4711" w:type="dxa"/>
          </w:tcPr>
          <w:p w14:paraId="08F2AC1A"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Para efectos de lo anterior, los permisos se pueden otorgar para la Distribución por medio de Ductos o por medios distintos a Ductos, conforme a las modalidades que para tal efecto determine la Comisión.</w:t>
            </w:r>
          </w:p>
        </w:tc>
        <w:tc>
          <w:tcPr>
            <w:tcW w:w="4649" w:type="dxa"/>
          </w:tcPr>
          <w:p w14:paraId="74C21D12" w14:textId="6E8FD194"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For the purposes of the foregoing, permits may be granted for distribution through pipelines or by means other than pipelines, in accordance with the modalities determined for such purposes by the Commission.</w:t>
            </w:r>
          </w:p>
        </w:tc>
      </w:tr>
      <w:tr w:rsidR="009849AC" w:rsidRPr="002C0F16" w14:paraId="1AFBE18B" w14:textId="55E23BE4" w:rsidTr="00F867DE">
        <w:tc>
          <w:tcPr>
            <w:tcW w:w="4711" w:type="dxa"/>
          </w:tcPr>
          <w:p w14:paraId="6C3DD406"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129.</w:t>
            </w:r>
            <w:r w:rsidRPr="00837D4A">
              <w:rPr>
                <w:rFonts w:ascii="Verdana" w:hAnsi="Verdana"/>
                <w:sz w:val="16"/>
                <w:szCs w:val="16"/>
              </w:rPr>
              <w:t xml:space="preserve"> Cada permiso de Distribución debe ser otorgado para un Sistema, ubicación o ubicaciones, Trayecto o Ruta específicos en territorio nacional, con una capacidad determinada y deben quedar contenidos en el título de permiso que expida la Comisión en términos del artículo 76, fracción II de la Ley.</w:t>
            </w:r>
          </w:p>
        </w:tc>
        <w:tc>
          <w:tcPr>
            <w:tcW w:w="4649" w:type="dxa"/>
          </w:tcPr>
          <w:p w14:paraId="63207982" w14:textId="51FABFDF"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129. </w:t>
            </w:r>
            <w:r w:rsidRPr="00837D4A">
              <w:rPr>
                <w:rFonts w:ascii="Verdana" w:hAnsi="Verdana"/>
                <w:sz w:val="16"/>
                <w:szCs w:val="16"/>
                <w:lang w:val="en-US"/>
              </w:rPr>
              <w:t>Each distribution permit must be granted for a specific system, location or locations, path or route in national territory, with a determined capacity and must be contained in the permit title issued by the Commission in terms of article 76, section II of the Law.</w:t>
            </w:r>
          </w:p>
        </w:tc>
      </w:tr>
      <w:tr w:rsidR="009849AC" w:rsidRPr="002C0F16" w14:paraId="7655FE97" w14:textId="6FE26EB4" w:rsidTr="00F867DE">
        <w:tc>
          <w:tcPr>
            <w:tcW w:w="4711" w:type="dxa"/>
          </w:tcPr>
          <w:p w14:paraId="4C08529C"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Las personas Permisionarias de Distribución por medio de Ductos están obligadas a dar Acceso Abierto No Indebidamente Discriminatorio a sus Sistemas y a prestar a terceras personas los servicios de Distribución, conforme a lo previsto en la Ley y el presente reglamento.</w:t>
            </w:r>
          </w:p>
        </w:tc>
        <w:tc>
          <w:tcPr>
            <w:tcW w:w="4649" w:type="dxa"/>
          </w:tcPr>
          <w:p w14:paraId="5CBDE09B" w14:textId="56B22AF8"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Distribution Permit Holders through Pipelines are required to provide open access that is not unduly discriminatory to their systems and to provide distribution services to third parties, in accordance with the provisions of the Law and this Regulation.</w:t>
            </w:r>
          </w:p>
        </w:tc>
      </w:tr>
      <w:tr w:rsidR="009849AC" w:rsidRPr="002C0F16" w14:paraId="25B52172" w14:textId="7B5E85D4" w:rsidTr="00F867DE">
        <w:tc>
          <w:tcPr>
            <w:tcW w:w="4711" w:type="dxa"/>
          </w:tcPr>
          <w:p w14:paraId="5C14D17A"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130.</w:t>
            </w:r>
            <w:r w:rsidRPr="00837D4A">
              <w:rPr>
                <w:rFonts w:ascii="Verdana" w:hAnsi="Verdana"/>
                <w:sz w:val="16"/>
                <w:szCs w:val="16"/>
              </w:rPr>
              <w:t xml:space="preserve"> La persona Permisionaria de Distribución solo puede vender Gas Natural o Petrolíferos conforme a lo establecido en el artículo 83, fracción II de la Ley y en este reglamento.</w:t>
            </w:r>
          </w:p>
        </w:tc>
        <w:tc>
          <w:tcPr>
            <w:tcW w:w="4649" w:type="dxa"/>
          </w:tcPr>
          <w:p w14:paraId="744108F4" w14:textId="19D86D1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130. </w:t>
            </w:r>
            <w:r w:rsidRPr="00837D4A">
              <w:rPr>
                <w:rFonts w:ascii="Verdana" w:hAnsi="Verdana"/>
                <w:sz w:val="16"/>
                <w:szCs w:val="16"/>
                <w:lang w:val="en-US"/>
              </w:rPr>
              <w:t>The Distribution Permit Holder may only sell Natural Gas or Petroleum Products in accordance with the provisions of Article 83, Section II of the Law and in this regulation.</w:t>
            </w:r>
          </w:p>
        </w:tc>
      </w:tr>
      <w:tr w:rsidR="009849AC" w:rsidRPr="002C0F16" w14:paraId="54E2A663" w14:textId="7E016B0D" w:rsidTr="00F867DE">
        <w:tc>
          <w:tcPr>
            <w:tcW w:w="4711" w:type="dxa"/>
          </w:tcPr>
          <w:p w14:paraId="30D0CA03"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Sin perjuicio de lo establecido en la Ley y en este reglamento, los vehículos destinados a la Distribución por medios distintos a Ductos de Gas Natural y Petrolíferos, a que se refiere este artículo, se debe sujetar a la Normatividad aplicable en materia de comunicaciones y transportes.</w:t>
            </w:r>
          </w:p>
        </w:tc>
        <w:tc>
          <w:tcPr>
            <w:tcW w:w="4649" w:type="dxa"/>
          </w:tcPr>
          <w:p w14:paraId="1774E004" w14:textId="0B361003"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Without prejudice to the provisions of the Law and this regulation, vehicles intended for distribution by means other than natural gas and petroleum pipelines, as referred to in this article, must comply with the applicable legislation regarding communications and transportation.</w:t>
            </w:r>
          </w:p>
        </w:tc>
      </w:tr>
      <w:tr w:rsidR="009849AC" w:rsidRPr="002C0F16" w14:paraId="652C7434" w14:textId="79C2AA87" w:rsidTr="00F867DE">
        <w:tc>
          <w:tcPr>
            <w:tcW w:w="4711" w:type="dxa"/>
          </w:tcPr>
          <w:p w14:paraId="161600E1"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 xml:space="preserve">Artículo 131. </w:t>
            </w:r>
            <w:r w:rsidRPr="00837D4A">
              <w:rPr>
                <w:rFonts w:ascii="Verdana" w:hAnsi="Verdana"/>
                <w:sz w:val="16"/>
                <w:szCs w:val="16"/>
              </w:rPr>
              <w:t>De conformidad con lo señalado en el artículo 83 de la Ley, los términos y condiciones del permiso de Distribución de Gas Natural y Petrolíferos deben contener, al menos, las siguientes actividades y obligaciones:</w:t>
            </w:r>
          </w:p>
        </w:tc>
        <w:tc>
          <w:tcPr>
            <w:tcW w:w="4649" w:type="dxa"/>
          </w:tcPr>
          <w:p w14:paraId="3C14FC46" w14:textId="76A6F32A"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131. </w:t>
            </w:r>
            <w:r w:rsidRPr="00837D4A">
              <w:rPr>
                <w:rFonts w:ascii="Verdana" w:hAnsi="Verdana"/>
                <w:sz w:val="16"/>
                <w:szCs w:val="16"/>
                <w:lang w:val="en-US"/>
              </w:rPr>
              <w:t>In accordance with the provisions of Article 83 of the Law, the terms and conditions of the natural gas and petroleum distribution permit must contain, at least, the following activities and obligations:</w:t>
            </w:r>
          </w:p>
        </w:tc>
      </w:tr>
      <w:tr w:rsidR="009849AC" w:rsidRPr="002C0F16" w14:paraId="52E6F8F0" w14:textId="0C1ECD65" w:rsidTr="00F867DE">
        <w:tc>
          <w:tcPr>
            <w:tcW w:w="4711" w:type="dxa"/>
          </w:tcPr>
          <w:p w14:paraId="7572DF21"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Informar a la Comisión de manera inmediata, ante cualquier circunstancia que impida el suministro de los productos autorizados;</w:t>
            </w:r>
          </w:p>
        </w:tc>
        <w:tc>
          <w:tcPr>
            <w:tcW w:w="4649" w:type="dxa"/>
          </w:tcPr>
          <w:p w14:paraId="14BA4581" w14:textId="79AE5873"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Immediately inform the Commission of any circumstance that prevents the supply of authorized products;</w:t>
            </w:r>
          </w:p>
        </w:tc>
      </w:tr>
      <w:tr w:rsidR="009849AC" w:rsidRPr="002C0F16" w14:paraId="5E82CBC0" w14:textId="490926FA" w:rsidTr="00F867DE">
        <w:tc>
          <w:tcPr>
            <w:tcW w:w="4711" w:type="dxa"/>
          </w:tcPr>
          <w:p w14:paraId="01E8E416"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Celebrar contratos con proveedores que acrediten el suministro para confirmar la procedencia lícita del producto;</w:t>
            </w:r>
          </w:p>
        </w:tc>
        <w:tc>
          <w:tcPr>
            <w:tcW w:w="4649" w:type="dxa"/>
          </w:tcPr>
          <w:p w14:paraId="7F2918BD" w14:textId="3084370E"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Enter into contracts with suppliers that certify the supply to confirm the legal origin of the product;</w:t>
            </w:r>
          </w:p>
        </w:tc>
      </w:tr>
      <w:tr w:rsidR="009849AC" w:rsidRPr="002C0F16" w14:paraId="60DFAA5B" w14:textId="66A6F548" w:rsidTr="00F867DE">
        <w:tc>
          <w:tcPr>
            <w:tcW w:w="4711" w:type="dxa"/>
          </w:tcPr>
          <w:p w14:paraId="5ACF6196"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Presentar la información requerida por la Comisión, en los formatos y medios solicitados los cuales pueden ser electrónicos y tecnologías de la información, conforme a lo señalado en el artículo 76, segundo párrafo de la Ley y al artículo 201 de este reglamento;</w:t>
            </w:r>
          </w:p>
        </w:tc>
        <w:tc>
          <w:tcPr>
            <w:tcW w:w="4649" w:type="dxa"/>
          </w:tcPr>
          <w:p w14:paraId="2E1CB747" w14:textId="5B40D08D"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Submit the information required by the Commission, in the formats and media requested, which may be electronic and information technologies, in accordance with the provisions of Article 76, second paragraph of the Law and Article 201 of this regulation;</w:t>
            </w:r>
          </w:p>
        </w:tc>
      </w:tr>
      <w:tr w:rsidR="009849AC" w:rsidRPr="002C0F16" w14:paraId="6AF29117" w14:textId="1EAFFCC1" w:rsidTr="00F867DE">
        <w:tc>
          <w:tcPr>
            <w:tcW w:w="4711" w:type="dxa"/>
          </w:tcPr>
          <w:p w14:paraId="7F97505A"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 xml:space="preserve">Informar a la Comisión en términos de la Normatividad aplicable, cuando directa o </w:t>
            </w:r>
            <w:r w:rsidRPr="00837D4A">
              <w:rPr>
                <w:rFonts w:ascii="Verdana" w:hAnsi="Verdana"/>
                <w:sz w:val="16"/>
                <w:szCs w:val="16"/>
              </w:rPr>
              <w:lastRenderedPageBreak/>
              <w:t>indirectamente, se tenga la propiedad sobre acciones o de capital social de:</w:t>
            </w:r>
          </w:p>
        </w:tc>
        <w:tc>
          <w:tcPr>
            <w:tcW w:w="4649" w:type="dxa"/>
          </w:tcPr>
          <w:p w14:paraId="60804969" w14:textId="0C22EF9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lastRenderedPageBreak/>
              <w:t xml:space="preserve">IV. </w:t>
            </w:r>
            <w:r w:rsidRPr="00837D4A">
              <w:rPr>
                <w:rFonts w:ascii="Verdana" w:hAnsi="Verdana"/>
                <w:b/>
                <w:sz w:val="16"/>
                <w:szCs w:val="16"/>
                <w:lang w:val="en-US"/>
              </w:rPr>
              <w:tab/>
            </w:r>
            <w:r w:rsidRPr="00837D4A">
              <w:rPr>
                <w:rFonts w:ascii="Verdana" w:hAnsi="Verdana"/>
                <w:sz w:val="16"/>
                <w:szCs w:val="16"/>
                <w:lang w:val="en-US"/>
              </w:rPr>
              <w:t>Inform the Commission in accordance with the applicable legislation when, directly or indirectly, it owns shares or capital stock of:</w:t>
            </w:r>
          </w:p>
        </w:tc>
      </w:tr>
      <w:tr w:rsidR="009849AC" w:rsidRPr="002C0F16" w14:paraId="1D4F0549" w14:textId="348D1E0E" w:rsidTr="00F867DE">
        <w:tc>
          <w:tcPr>
            <w:tcW w:w="4711" w:type="dxa"/>
          </w:tcPr>
          <w:p w14:paraId="76B51E0E"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Personas Usuarias Finales, productoras o comercializadoras de Hidrocarburos, Petrolíferos y Petroquímicos que utilicen los servicios de Transporte por medio de Ductos o Almacenamiento sujetos a Acceso Abierto No Indebidamente Discriminatorio, y</w:t>
            </w:r>
          </w:p>
        </w:tc>
        <w:tc>
          <w:tcPr>
            <w:tcW w:w="4649" w:type="dxa"/>
          </w:tcPr>
          <w:p w14:paraId="24C6E1EB" w14:textId="65CBB262"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End Users, producers or marketers of hydrocarbons, petroleum products and petrochemicals who use transportation services through pipelines or storage subject to non-unduly discriminatory open access, and</w:t>
            </w:r>
          </w:p>
        </w:tc>
      </w:tr>
      <w:tr w:rsidR="009849AC" w:rsidRPr="002C0F16" w14:paraId="0B8E971A" w14:textId="7CD5BE3F" w:rsidTr="00F867DE">
        <w:tc>
          <w:tcPr>
            <w:tcW w:w="4711" w:type="dxa"/>
          </w:tcPr>
          <w:p w14:paraId="7B8A8148"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Personas Permisionarias que presten los servicios de Transporte por medio de Ductos o Almacenamiento de Hidrocarburos, Petrolíferos y Petroquímicos sujetos a Acceso Abierto No Indebidamente Discriminatorio, y</w:t>
            </w:r>
          </w:p>
        </w:tc>
        <w:tc>
          <w:tcPr>
            <w:tcW w:w="4649" w:type="dxa"/>
          </w:tcPr>
          <w:p w14:paraId="2EF07AD6" w14:textId="6F470FE7"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Permit Holders who provide transportation services through pipelines or storage of hydrocarbons, petroleum products and petrochemicals subject to non-unduly discriminatory open access, and</w:t>
            </w:r>
          </w:p>
        </w:tc>
      </w:tr>
      <w:tr w:rsidR="009849AC" w:rsidRPr="002C0F16" w14:paraId="6A5EDD93" w14:textId="5AA538A2" w:rsidTr="00F867DE">
        <w:tc>
          <w:tcPr>
            <w:tcW w:w="4711" w:type="dxa"/>
          </w:tcPr>
          <w:p w14:paraId="7847824E"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Las</w:t>
            </w:r>
            <w:r w:rsidRPr="00837D4A">
              <w:rPr>
                <w:rFonts w:ascii="Verdana" w:hAnsi="Verdana"/>
                <w:b/>
                <w:sz w:val="16"/>
                <w:szCs w:val="16"/>
              </w:rPr>
              <w:t xml:space="preserve"> </w:t>
            </w:r>
            <w:r w:rsidRPr="00837D4A">
              <w:rPr>
                <w:rFonts w:ascii="Verdana" w:hAnsi="Verdana"/>
                <w:sz w:val="16"/>
                <w:szCs w:val="16"/>
              </w:rPr>
              <w:t>demás actividades y obligaciones que se determinen en la Normatividad que emita la Comisión.</w:t>
            </w:r>
          </w:p>
        </w:tc>
        <w:tc>
          <w:tcPr>
            <w:tcW w:w="4649" w:type="dxa"/>
          </w:tcPr>
          <w:p w14:paraId="0F7A9757" w14:textId="63A2292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Pr="00837D4A">
              <w:rPr>
                <w:rFonts w:ascii="Verdana" w:hAnsi="Verdana"/>
                <w:sz w:val="16"/>
                <w:szCs w:val="16"/>
                <w:lang w:val="en-US"/>
              </w:rPr>
              <w:t>other activities and obligations determined in the Regulation issued by the Commission.</w:t>
            </w:r>
          </w:p>
        </w:tc>
      </w:tr>
      <w:tr w:rsidR="009849AC" w:rsidRPr="002C0F16" w14:paraId="16E8C5E3" w14:textId="6D0C9B13" w:rsidTr="00F867DE">
        <w:tc>
          <w:tcPr>
            <w:tcW w:w="4711" w:type="dxa"/>
          </w:tcPr>
          <w:p w14:paraId="54673854"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 xml:space="preserve">Artículo 132. </w:t>
            </w:r>
            <w:r w:rsidRPr="00837D4A">
              <w:rPr>
                <w:rFonts w:ascii="Verdana" w:hAnsi="Verdana"/>
                <w:sz w:val="16"/>
                <w:szCs w:val="16"/>
              </w:rPr>
              <w:t>Las personas Permisionarias de Distribución por medio de Ductos de Gas Natural, deben contemplar dentro de su plan de negocios, y como parte del desarrollo de los Sistemas, la prestación del servicio a personas Permisionarias de Expendio al Público o personas Usuarias Finales conforme al artículo 83, fracción II de la Ley.</w:t>
            </w:r>
          </w:p>
        </w:tc>
        <w:tc>
          <w:tcPr>
            <w:tcW w:w="4649" w:type="dxa"/>
          </w:tcPr>
          <w:p w14:paraId="17A62A21" w14:textId="57A75454"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132. </w:t>
            </w:r>
            <w:r w:rsidRPr="00837D4A">
              <w:rPr>
                <w:rFonts w:ascii="Verdana" w:hAnsi="Verdana"/>
                <w:sz w:val="16"/>
                <w:szCs w:val="16"/>
                <w:lang w:val="en-US"/>
              </w:rPr>
              <w:t>Natural Gas Distribution Permit Holders through Pipelines must be included in their business plan, and as part of the development of the systems, the provision of service to public sale permit holders or end users in accordance with article 83, section II of the Law.</w:t>
            </w:r>
          </w:p>
        </w:tc>
      </w:tr>
      <w:tr w:rsidR="009849AC" w:rsidRPr="002C0F16" w14:paraId="3A5664EF" w14:textId="5CAB0223" w:rsidTr="00F867DE">
        <w:tc>
          <w:tcPr>
            <w:tcW w:w="4711" w:type="dxa"/>
          </w:tcPr>
          <w:p w14:paraId="7AFC40FF"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Secretaría, la Comisión y la Agencia se deben coordinar para establecer la Normatividad para el uso compartido de la infraestructura de Distribución por medio de Ductos de Gas Natural con el biometano.</w:t>
            </w:r>
          </w:p>
        </w:tc>
        <w:tc>
          <w:tcPr>
            <w:tcW w:w="4649" w:type="dxa"/>
          </w:tcPr>
          <w:p w14:paraId="277DE3DD" w14:textId="5120E396"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Secretary, the Commission, and the Agency must coordinate to establish Regulation for the shared use of natural gas pipeline distribution infrastructure with biomethane.</w:t>
            </w:r>
          </w:p>
        </w:tc>
      </w:tr>
      <w:tr w:rsidR="009849AC" w:rsidRPr="002C0F16" w14:paraId="6320BAD0" w14:textId="239B6563" w:rsidTr="00F867DE">
        <w:tc>
          <w:tcPr>
            <w:tcW w:w="4711" w:type="dxa"/>
          </w:tcPr>
          <w:p w14:paraId="1F6AE6B0"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133.</w:t>
            </w:r>
            <w:r w:rsidRPr="00837D4A">
              <w:rPr>
                <w:rFonts w:ascii="Verdana" w:hAnsi="Verdana"/>
                <w:sz w:val="16"/>
                <w:szCs w:val="16"/>
              </w:rPr>
              <w:t xml:space="preserve"> Los permisos de Distribución deben otorgarse a Particulares o empresas públicas del Estado que, conforme a la Ley, adquieran, reciban, guarden, trasladen y conduzcan un determinado volumen de Gas Natural o Petrolíferos desde una ubicación determinada hasta uno o varios destinos asignados para su venta o entrega.</w:t>
            </w:r>
          </w:p>
        </w:tc>
        <w:tc>
          <w:tcPr>
            <w:tcW w:w="4649" w:type="dxa"/>
          </w:tcPr>
          <w:p w14:paraId="1B8D411D" w14:textId="55436F7F"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133. </w:t>
            </w:r>
            <w:r w:rsidRPr="00837D4A">
              <w:rPr>
                <w:rFonts w:ascii="Verdana" w:hAnsi="Verdana"/>
                <w:sz w:val="16"/>
                <w:szCs w:val="16"/>
                <w:lang w:val="en-US"/>
              </w:rPr>
              <w:t>Distribution permits must be granted to private individuals or public companies of the State that, in accordance with the Law, acquire, receive, store, transfer and transport a certain volume of natural gas or petroleum products from a specific location to one or more destinations assigned for sale or delivery.</w:t>
            </w:r>
          </w:p>
        </w:tc>
      </w:tr>
      <w:tr w:rsidR="009849AC" w:rsidRPr="002C0F16" w14:paraId="48F2C409" w14:textId="1507A737" w:rsidTr="00F867DE">
        <w:tc>
          <w:tcPr>
            <w:tcW w:w="4711" w:type="dxa"/>
          </w:tcPr>
          <w:p w14:paraId="79ABA556"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capacidad establecida en los permisos de Distribución de Gas Licuado de Petróleo se determina y delimita bajo los criterios que al respecto se establezcan en la Normatividad que emita la Comisión.</w:t>
            </w:r>
          </w:p>
        </w:tc>
        <w:tc>
          <w:tcPr>
            <w:tcW w:w="4649" w:type="dxa"/>
          </w:tcPr>
          <w:p w14:paraId="61A6ACDD" w14:textId="4D58EE40"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capacity established in the Liquefied Petroleum Gas Distribution permits is determined and delimited under the criteria established in the Regulation issued by the Commission.</w:t>
            </w:r>
          </w:p>
        </w:tc>
      </w:tr>
      <w:tr w:rsidR="009849AC" w:rsidRPr="002C0F16" w14:paraId="4826EE54" w14:textId="524289DA" w:rsidTr="00F867DE">
        <w:tc>
          <w:tcPr>
            <w:tcW w:w="4711" w:type="dxa"/>
          </w:tcPr>
          <w:p w14:paraId="24576769"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Las personas Permisionarias de Distribución de Gas Natural por medios distintos a Ductos no pueden prestar servicios a otras personas Permisionarias de Transporte o Distribución por medios distintos a Ductos ni permitir el traslado del Gas Natural por una tercera persona distinta a la persona Permisionaria.</w:t>
            </w:r>
          </w:p>
        </w:tc>
        <w:tc>
          <w:tcPr>
            <w:tcW w:w="4649" w:type="dxa"/>
          </w:tcPr>
          <w:p w14:paraId="5DAF5BCA" w14:textId="48EA8515"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Natural Gas Distribution Permit Holders by means other than Pipelines may not provide services to other Transportation or Distribution Permit Holders by means other than pipelines, nor allow the transportation of natural gas by a third party other than the Permit Holder.</w:t>
            </w:r>
          </w:p>
        </w:tc>
      </w:tr>
      <w:tr w:rsidR="009849AC" w:rsidRPr="002C0F16" w14:paraId="2DB55FF6" w14:textId="2B614E4B" w:rsidTr="00F867DE">
        <w:tc>
          <w:tcPr>
            <w:tcW w:w="4711" w:type="dxa"/>
          </w:tcPr>
          <w:p w14:paraId="1891D56C"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134. </w:t>
            </w:r>
            <w:r w:rsidRPr="00837D4A">
              <w:rPr>
                <w:rFonts w:ascii="Verdana" w:hAnsi="Verdana"/>
                <w:sz w:val="16"/>
                <w:szCs w:val="16"/>
              </w:rPr>
              <w:t>Las personas Permisionarias de Distribución son responsables de medir y conservar la calidad y cantidad del producto que distribuyan, desde su recepción y hasta la entrega a la persona Usuaria o Usuaria Final, de conformidad con la Normatividad aplicable. Lo anterior, sin perjuicio de que las personas Permisionarias cuyos Sistemas se encuentren interconectados formalicen protocolos de medición conjunta para cumplir con las responsabilidades señaladas.</w:t>
            </w:r>
          </w:p>
        </w:tc>
        <w:tc>
          <w:tcPr>
            <w:tcW w:w="4649" w:type="dxa"/>
          </w:tcPr>
          <w:p w14:paraId="4F055B07" w14:textId="57393B60"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134. </w:t>
            </w:r>
            <w:r w:rsidRPr="00837D4A">
              <w:rPr>
                <w:rFonts w:ascii="Verdana" w:hAnsi="Verdana"/>
                <w:sz w:val="16"/>
                <w:szCs w:val="16"/>
                <w:lang w:val="en-US"/>
              </w:rPr>
              <w:t>Distribution Permit Holders are responsible for measuring and maintaining the quality and quantity of the product they distribute, from its receipt until delivery to the user or end user, in accordance with applicable legislation. This is without prejudice to Permit Holders whose systems are interconnected formalizing joint measurement protocols to fulfill the aforementioned responsibilities.</w:t>
            </w:r>
          </w:p>
        </w:tc>
      </w:tr>
      <w:tr w:rsidR="009849AC" w:rsidRPr="002C0F16" w14:paraId="04A0058E" w14:textId="1B81F5D6" w:rsidTr="00F867DE">
        <w:tc>
          <w:tcPr>
            <w:tcW w:w="4711" w:type="dxa"/>
          </w:tcPr>
          <w:p w14:paraId="222F1E09"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135. </w:t>
            </w:r>
            <w:r w:rsidRPr="00837D4A">
              <w:rPr>
                <w:rFonts w:ascii="Verdana" w:hAnsi="Verdana"/>
                <w:sz w:val="16"/>
                <w:szCs w:val="16"/>
              </w:rPr>
              <w:t xml:space="preserve">Cuando las personas Permisionarias de Distribución por medio de Ductos vendan el producto, </w:t>
            </w:r>
            <w:r w:rsidRPr="00837D4A">
              <w:rPr>
                <w:rFonts w:ascii="Verdana" w:hAnsi="Verdana"/>
                <w:sz w:val="16"/>
                <w:szCs w:val="16"/>
              </w:rPr>
              <w:lastRenderedPageBreak/>
              <w:t>deben desagregar en su facturación el precio del producto, así como cada uno de los servicios involucrados en su entrega, conforme a lo previsto en la Ley y el presente reglamento.</w:t>
            </w:r>
          </w:p>
        </w:tc>
        <w:tc>
          <w:tcPr>
            <w:tcW w:w="4649" w:type="dxa"/>
          </w:tcPr>
          <w:p w14:paraId="63C0C17F" w14:textId="59D8230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135. </w:t>
            </w:r>
            <w:r w:rsidRPr="00837D4A">
              <w:rPr>
                <w:rFonts w:ascii="Verdana" w:hAnsi="Verdana"/>
                <w:sz w:val="16"/>
                <w:szCs w:val="16"/>
                <w:lang w:val="en-US"/>
              </w:rPr>
              <w:t xml:space="preserve">When Distribution Permit Holders through Pipelines sell the product, they must itemize the price </w:t>
            </w:r>
            <w:r w:rsidRPr="00837D4A">
              <w:rPr>
                <w:rFonts w:ascii="Verdana" w:hAnsi="Verdana"/>
                <w:sz w:val="16"/>
                <w:szCs w:val="16"/>
                <w:lang w:val="en-US"/>
              </w:rPr>
              <w:lastRenderedPageBreak/>
              <w:t>of the product in their invoice, as well as each of the services involved in its delivery, in accordance with the provisions of the Law and this Regulation.</w:t>
            </w:r>
          </w:p>
        </w:tc>
      </w:tr>
      <w:tr w:rsidR="009849AC" w:rsidRPr="00D0180E" w14:paraId="042BFA66" w14:textId="74CC0C29" w:rsidTr="00F867DE">
        <w:tc>
          <w:tcPr>
            <w:tcW w:w="4711" w:type="dxa"/>
          </w:tcPr>
          <w:p w14:paraId="0A01DA9A"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lastRenderedPageBreak/>
              <w:t>Sección Novena</w:t>
            </w:r>
          </w:p>
        </w:tc>
        <w:tc>
          <w:tcPr>
            <w:tcW w:w="4649" w:type="dxa"/>
          </w:tcPr>
          <w:p w14:paraId="52FB77BB" w14:textId="14B60A9B"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rPr>
              <w:t>Ninth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C0F16" w14:paraId="60A77F3F" w14:textId="142D1E13" w:rsidTr="00F867DE">
        <w:tc>
          <w:tcPr>
            <w:tcW w:w="4711" w:type="dxa"/>
          </w:tcPr>
          <w:p w14:paraId="2631D43A"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Del Expendio al Público</w:t>
            </w:r>
          </w:p>
        </w:tc>
        <w:tc>
          <w:tcPr>
            <w:tcW w:w="4649" w:type="dxa"/>
          </w:tcPr>
          <w:p w14:paraId="21E769EA" w14:textId="00EC0881"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Dispatch to the Public</w:t>
            </w:r>
          </w:p>
        </w:tc>
      </w:tr>
      <w:tr w:rsidR="009849AC" w:rsidRPr="002C0F16" w14:paraId="134053AB" w14:textId="45D6F386" w:rsidTr="00F867DE">
        <w:tc>
          <w:tcPr>
            <w:tcW w:w="4711" w:type="dxa"/>
          </w:tcPr>
          <w:p w14:paraId="14C98D59"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136. </w:t>
            </w:r>
            <w:r w:rsidRPr="00837D4A">
              <w:rPr>
                <w:rFonts w:ascii="Verdana" w:hAnsi="Verdana"/>
                <w:sz w:val="16"/>
                <w:szCs w:val="16"/>
              </w:rPr>
              <w:t>El Expendio al Público de Gas Natural y Petrolíferos debe llevarse a cabo de conformidad con el artículo 5, fracción XVIII de la Ley, en los Sistemas establecidos por la Comisión en la Normatividad aplicable.</w:t>
            </w:r>
          </w:p>
        </w:tc>
        <w:tc>
          <w:tcPr>
            <w:tcW w:w="4649" w:type="dxa"/>
          </w:tcPr>
          <w:p w14:paraId="62493A63" w14:textId="6DF94295"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136. </w:t>
            </w:r>
            <w:r w:rsidRPr="00837D4A">
              <w:rPr>
                <w:rFonts w:ascii="Verdana" w:hAnsi="Verdana"/>
                <w:sz w:val="16"/>
                <w:szCs w:val="16"/>
                <w:lang w:val="en-US"/>
              </w:rPr>
              <w:t>The public sale of natural gas and petroleum products must be carried out in accordance with article 5, section XVIII of the Law, in the Systems established by the Commission in the applicable legislation.</w:t>
            </w:r>
          </w:p>
        </w:tc>
      </w:tr>
      <w:tr w:rsidR="009849AC" w:rsidRPr="002C0F16" w14:paraId="33EFE5CD" w14:textId="2E51D895" w:rsidTr="00F867DE">
        <w:tc>
          <w:tcPr>
            <w:tcW w:w="4711" w:type="dxa"/>
          </w:tcPr>
          <w:p w14:paraId="25D693C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Los productos que se expendan al público deben adquirirse de personas Permisionarias.</w:t>
            </w:r>
          </w:p>
        </w:tc>
        <w:tc>
          <w:tcPr>
            <w:tcW w:w="4649" w:type="dxa"/>
          </w:tcPr>
          <w:p w14:paraId="14EEA632" w14:textId="7FBE7033"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Products sold to the public must be purchased from Permit Holders.</w:t>
            </w:r>
          </w:p>
        </w:tc>
      </w:tr>
      <w:tr w:rsidR="009849AC" w:rsidRPr="002C0F16" w14:paraId="2F696CB8" w14:textId="226A8C61" w:rsidTr="00F867DE">
        <w:tc>
          <w:tcPr>
            <w:tcW w:w="4711" w:type="dxa"/>
          </w:tcPr>
          <w:p w14:paraId="154FBF4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137. </w:t>
            </w:r>
            <w:r w:rsidRPr="00837D4A">
              <w:rPr>
                <w:rFonts w:ascii="Verdana" w:hAnsi="Verdana"/>
                <w:sz w:val="16"/>
                <w:szCs w:val="16"/>
              </w:rPr>
              <w:t>El Expendio al Público de Petrolíferos, excepto el Gas Licuado de Petróleo, puede llevarse a cabo en Recipientes Portátiles, así como en Recipientes Transportables no sujetos a presión y debe utilizar instalaciones y equipos que cumplan con los requisitos técnicos previstos en la Normatividad aplicable.</w:t>
            </w:r>
          </w:p>
        </w:tc>
        <w:tc>
          <w:tcPr>
            <w:tcW w:w="4649" w:type="dxa"/>
          </w:tcPr>
          <w:p w14:paraId="6C983243" w14:textId="0E97F963"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137. </w:t>
            </w:r>
            <w:r w:rsidRPr="00837D4A">
              <w:rPr>
                <w:rFonts w:ascii="Verdana" w:hAnsi="Verdana"/>
                <w:sz w:val="16"/>
                <w:szCs w:val="16"/>
                <w:lang w:val="en-US"/>
              </w:rPr>
              <w:t>The sale to the public of petroleum products, except for liquefied petroleum gas, may be carried out in portable containers, as well as in transportable containers not subject to pressure, and must use facilities and equipment that comply with the technical requirements provided for in the applicable legislation.</w:t>
            </w:r>
          </w:p>
        </w:tc>
      </w:tr>
      <w:tr w:rsidR="009849AC" w:rsidRPr="002C0F16" w14:paraId="1A29A137" w14:textId="25CD2A0E" w:rsidTr="00F867DE">
        <w:tc>
          <w:tcPr>
            <w:tcW w:w="4711" w:type="dxa"/>
          </w:tcPr>
          <w:p w14:paraId="7A7CA09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En el caso de Expendio al Público de Gas Licuado de Petróleo puede llevarse a cabo en Recipientes Portátiles, así como en Recipientes Transportables sujetos a presión en la medida que establezca la Normatividad aplicable.</w:t>
            </w:r>
          </w:p>
        </w:tc>
        <w:tc>
          <w:tcPr>
            <w:tcW w:w="4649" w:type="dxa"/>
          </w:tcPr>
          <w:p w14:paraId="4AD31C59" w14:textId="77970B6D"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In the case of the public sale of liquefied petroleum gas, this may be carried out in portable containers, as well as in transportable containers subject to pressure to the extent established by the applicable legislation.</w:t>
            </w:r>
          </w:p>
        </w:tc>
      </w:tr>
      <w:tr w:rsidR="009849AC" w:rsidRPr="002C0F16" w14:paraId="767628DC" w14:textId="1FF36431" w:rsidTr="00F867DE">
        <w:tc>
          <w:tcPr>
            <w:tcW w:w="4711" w:type="dxa"/>
          </w:tcPr>
          <w:p w14:paraId="4A1A853C"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Las personas Permisionarias de Expendio al Público de Petrolíferos deben expender productos con una marca comercial que se encuentre previamente registrada conforme a la Normatividad que para tal efecto emita la Comisión y lo establecido en los términos y condiciones del permiso correspondiente.</w:t>
            </w:r>
          </w:p>
        </w:tc>
        <w:tc>
          <w:tcPr>
            <w:tcW w:w="4649" w:type="dxa"/>
          </w:tcPr>
          <w:p w14:paraId="575767D1" w14:textId="46291EA7"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Permit holders of petroleum products must sell products under a trademark that is previously registered in accordance with the Regulation issued for this purpose by the Commission and the terms and conditions of the corresponding permit.</w:t>
            </w:r>
          </w:p>
        </w:tc>
      </w:tr>
      <w:tr w:rsidR="009849AC" w:rsidRPr="002C0F16" w14:paraId="600B0999" w14:textId="4F36A9B9" w:rsidTr="00F867DE">
        <w:tc>
          <w:tcPr>
            <w:tcW w:w="4711" w:type="dxa"/>
          </w:tcPr>
          <w:p w14:paraId="2E0A668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Para efectos de lo establecido en el párrafo anterior, la Comisión puede emitir la Normatividad que regule la utilización de marcadores químicos en los Petrolíferos para su identificación y Trazabilidad. El uso de marcadores químicos queda excluido para Gas Licuado de Petróleo.</w:t>
            </w:r>
          </w:p>
        </w:tc>
        <w:tc>
          <w:tcPr>
            <w:tcW w:w="4649" w:type="dxa"/>
          </w:tcPr>
          <w:p w14:paraId="7F19EE27" w14:textId="69242B52"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For the purposes of the preceding paragraph, the Commission may issue Regulation governing the use of chemical markers in petroleum products for their identification and traceability. The use of chemical markers is excluded for liquefied petroleum gas.</w:t>
            </w:r>
          </w:p>
        </w:tc>
      </w:tr>
      <w:tr w:rsidR="009849AC" w:rsidRPr="002C0F16" w14:paraId="112E00C6" w14:textId="20D2471B" w:rsidTr="00F867DE">
        <w:tc>
          <w:tcPr>
            <w:tcW w:w="4711" w:type="dxa"/>
          </w:tcPr>
          <w:p w14:paraId="227C2F4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138. </w:t>
            </w:r>
            <w:r w:rsidRPr="00837D4A">
              <w:rPr>
                <w:rFonts w:ascii="Verdana" w:hAnsi="Verdana"/>
                <w:sz w:val="16"/>
                <w:szCs w:val="16"/>
              </w:rPr>
              <w:t>Cada permiso de Expendio al Público debe ser otorgado para un Sistema, ubicación, y una capacidad determinados y deben quedar contenidos en el título de permiso que expida la Comisión.</w:t>
            </w:r>
          </w:p>
        </w:tc>
        <w:tc>
          <w:tcPr>
            <w:tcW w:w="4649" w:type="dxa"/>
          </w:tcPr>
          <w:p w14:paraId="3DFE90E1" w14:textId="182AEC67"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138. </w:t>
            </w:r>
            <w:r w:rsidRPr="00837D4A">
              <w:rPr>
                <w:rFonts w:ascii="Verdana" w:hAnsi="Verdana"/>
                <w:sz w:val="16"/>
                <w:szCs w:val="16"/>
                <w:lang w:val="en-US"/>
              </w:rPr>
              <w:t>Each Public Sale permit must be granted for a specific System, location, and capacity and must be included in the permit title issued by the Commission.</w:t>
            </w:r>
          </w:p>
        </w:tc>
      </w:tr>
      <w:tr w:rsidR="009849AC" w:rsidRPr="002C0F16" w14:paraId="36EF87FF" w14:textId="6A08D8CF" w:rsidTr="00F867DE">
        <w:tc>
          <w:tcPr>
            <w:tcW w:w="4711" w:type="dxa"/>
          </w:tcPr>
          <w:p w14:paraId="2CE060D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capacidad establecida en los permisos de Expendio al Público se determina y delimita bajo los criterios que al respecto emita la Comisión en la Normatividad aplicable.</w:t>
            </w:r>
          </w:p>
        </w:tc>
        <w:tc>
          <w:tcPr>
            <w:tcW w:w="4649" w:type="dxa"/>
          </w:tcPr>
          <w:p w14:paraId="70726B91" w14:textId="06CF89EF"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capacity established in the Public Sale permits is determined and delimited under the criteria issued by the Commission in the applicable legislation.</w:t>
            </w:r>
          </w:p>
        </w:tc>
      </w:tr>
      <w:tr w:rsidR="009849AC" w:rsidRPr="002C0F16" w14:paraId="427A4C7C" w14:textId="709588DE" w:rsidTr="00F867DE">
        <w:tc>
          <w:tcPr>
            <w:tcW w:w="4711" w:type="dxa"/>
          </w:tcPr>
          <w:p w14:paraId="1E41197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139. </w:t>
            </w:r>
            <w:r w:rsidRPr="00837D4A">
              <w:rPr>
                <w:rFonts w:ascii="Verdana" w:hAnsi="Verdana"/>
                <w:sz w:val="16"/>
                <w:szCs w:val="16"/>
              </w:rPr>
              <w:t>Las personas Permisionarias de Expendio al Público son responsables por la Guarda del producto desde su recepción en el Sistema hasta su entrega, así como de medir y conservar la calidad y cantidad del producto recibido y entregado en su Sistema, de conformidad con la Normatividad aplicable.</w:t>
            </w:r>
          </w:p>
        </w:tc>
        <w:tc>
          <w:tcPr>
            <w:tcW w:w="4649" w:type="dxa"/>
          </w:tcPr>
          <w:p w14:paraId="33B09BC5" w14:textId="0619F0A7"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139. </w:t>
            </w:r>
            <w:r w:rsidRPr="00837D4A">
              <w:rPr>
                <w:rFonts w:ascii="Verdana" w:hAnsi="Verdana"/>
                <w:sz w:val="16"/>
                <w:szCs w:val="16"/>
                <w:lang w:val="en-US"/>
              </w:rPr>
              <w:t>Public Retail Permit holders are responsible for safeguarding the product from its receipt in the System until its delivery, as well as for measuring and preserving the quality and quantity of the product received and delivered in their system, in accordance with the applicable legislation.</w:t>
            </w:r>
          </w:p>
        </w:tc>
      </w:tr>
      <w:tr w:rsidR="009849AC" w:rsidRPr="00D0180E" w14:paraId="4F6B9F82" w14:textId="1954966E" w:rsidTr="00F867DE">
        <w:tc>
          <w:tcPr>
            <w:tcW w:w="4711" w:type="dxa"/>
          </w:tcPr>
          <w:p w14:paraId="68D5069D"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Sección Décima</w:t>
            </w:r>
          </w:p>
        </w:tc>
        <w:tc>
          <w:tcPr>
            <w:tcW w:w="4649" w:type="dxa"/>
          </w:tcPr>
          <w:p w14:paraId="5D1BC6D6" w14:textId="3899DE85"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rPr>
              <w:t>Tenth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C0F16" w14:paraId="33F2EE7A" w14:textId="0DA7E785" w:rsidTr="00F867DE">
        <w:tc>
          <w:tcPr>
            <w:tcW w:w="4711" w:type="dxa"/>
          </w:tcPr>
          <w:p w14:paraId="6ED31C55"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Del Despacho para Autoconsumo</w:t>
            </w:r>
          </w:p>
        </w:tc>
        <w:tc>
          <w:tcPr>
            <w:tcW w:w="4649" w:type="dxa"/>
          </w:tcPr>
          <w:p w14:paraId="7D69A2BE" w14:textId="79A0D377"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Dispatch for Self-Consumption</w:t>
            </w:r>
          </w:p>
        </w:tc>
      </w:tr>
      <w:tr w:rsidR="009849AC" w:rsidRPr="002C0F16" w14:paraId="491DB75C" w14:textId="58955386" w:rsidTr="00F867DE">
        <w:tc>
          <w:tcPr>
            <w:tcW w:w="4711" w:type="dxa"/>
          </w:tcPr>
          <w:p w14:paraId="09B39311"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lastRenderedPageBreak/>
              <w:t xml:space="preserve">Artículo 140. </w:t>
            </w:r>
            <w:r w:rsidRPr="00837D4A">
              <w:rPr>
                <w:rFonts w:ascii="Verdana" w:hAnsi="Verdana"/>
                <w:sz w:val="16"/>
                <w:szCs w:val="16"/>
              </w:rPr>
              <w:t>Para realizar la actividad de Despacho para Autoconsumo de Petrolíferos se requiere de un permiso otorgado por la Comisión en el que se determinen un Sistema, ubicación y capacidad específicos. Los permisos de Despacho para Autoconsumo de Petrolíferos no se otorgan para Sistemas con infraestructura compartida con terceras personas.</w:t>
            </w:r>
          </w:p>
        </w:tc>
        <w:tc>
          <w:tcPr>
            <w:tcW w:w="4649" w:type="dxa"/>
          </w:tcPr>
          <w:p w14:paraId="73B2294C" w14:textId="2AA79B1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140. </w:t>
            </w:r>
            <w:r w:rsidRPr="00837D4A">
              <w:rPr>
                <w:rFonts w:ascii="Verdana" w:hAnsi="Verdana"/>
                <w:sz w:val="16"/>
                <w:szCs w:val="16"/>
                <w:lang w:val="en-US"/>
              </w:rPr>
              <w:t>To carry out the dispatch for self-consumption of petroleum products activity, a permit issued by the Commission is required, specifying a specific system, location, and capacity. Dispatch permits for self-consumption of petroleum products are not granted for systems with infrastructure shared with third parties.</w:t>
            </w:r>
          </w:p>
        </w:tc>
      </w:tr>
      <w:tr w:rsidR="009849AC" w:rsidRPr="002C0F16" w14:paraId="4B14EE9D" w14:textId="14E73ED9" w:rsidTr="00F867DE">
        <w:tc>
          <w:tcPr>
            <w:tcW w:w="4711" w:type="dxa"/>
          </w:tcPr>
          <w:p w14:paraId="14102981"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Además de lo establecido en el artículo 93 de este reglamento, la Comisión debe emitir los criterios técnicos para el otorgamiento de dichos permisos, así como la Normatividad aplicable a la actividad de Despacho para Autoconsumo de Petrolíferos.</w:t>
            </w:r>
          </w:p>
        </w:tc>
        <w:tc>
          <w:tcPr>
            <w:tcW w:w="4649" w:type="dxa"/>
          </w:tcPr>
          <w:p w14:paraId="0662D697" w14:textId="77D56029"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In addition to the provisions of Article 93 of this regulation, the Commission must issue the technical criteria for granting such permits, as well as the Regulation applicable to the Dispatch for Self-Consumption of petroleum products activity.</w:t>
            </w:r>
          </w:p>
        </w:tc>
      </w:tr>
      <w:tr w:rsidR="009849AC" w:rsidRPr="002C0F16" w14:paraId="56122953" w14:textId="18CF0479" w:rsidTr="00F867DE">
        <w:tc>
          <w:tcPr>
            <w:tcW w:w="4711" w:type="dxa"/>
          </w:tcPr>
          <w:p w14:paraId="7D12D213"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Las personas Permisionarias que realicen la actividad de Despacho para Autoconsumo no pueden:</w:t>
            </w:r>
          </w:p>
        </w:tc>
        <w:tc>
          <w:tcPr>
            <w:tcW w:w="4649" w:type="dxa"/>
          </w:tcPr>
          <w:p w14:paraId="58EB507A" w14:textId="04535FA2"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Permit holders who carry out the activity of dispatch for self-consumption may not:</w:t>
            </w:r>
          </w:p>
        </w:tc>
      </w:tr>
      <w:tr w:rsidR="009849AC" w:rsidRPr="002C0F16" w14:paraId="46FC20BD" w14:textId="567B2CD7" w:rsidTr="00F867DE">
        <w:tc>
          <w:tcPr>
            <w:tcW w:w="4711" w:type="dxa"/>
          </w:tcPr>
          <w:p w14:paraId="11C829E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Vender, ceder, traspasar o transferir de ninguna forma Petrolíferos a terceras personas, y</w:t>
            </w:r>
          </w:p>
        </w:tc>
        <w:tc>
          <w:tcPr>
            <w:tcW w:w="4649" w:type="dxa"/>
          </w:tcPr>
          <w:p w14:paraId="4E7409BF" w14:textId="7843311F"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Sell, assign, transmission or transfer in any way of petroleum products to third parties, and</w:t>
            </w:r>
          </w:p>
        </w:tc>
      </w:tr>
      <w:tr w:rsidR="009849AC" w:rsidRPr="002C0F16" w14:paraId="56E148C6" w14:textId="54A6D5D4" w:rsidTr="00F867DE">
        <w:tc>
          <w:tcPr>
            <w:tcW w:w="4711" w:type="dxa"/>
          </w:tcPr>
          <w:p w14:paraId="5180D7BD"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Generar o emitir facturas a terceras personas por concepto de venta de Petrolíferos.</w:t>
            </w:r>
          </w:p>
        </w:tc>
        <w:tc>
          <w:tcPr>
            <w:tcW w:w="4649" w:type="dxa"/>
          </w:tcPr>
          <w:p w14:paraId="1F660002" w14:textId="352B19E5"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Generate or issue invoices to third parties for the sale of petroleum products.</w:t>
            </w:r>
          </w:p>
        </w:tc>
      </w:tr>
      <w:tr w:rsidR="009849AC" w:rsidRPr="002C0F16" w14:paraId="09AC3885" w14:textId="271B05F9" w:rsidTr="00F867DE">
        <w:tc>
          <w:tcPr>
            <w:tcW w:w="4711" w:type="dxa"/>
          </w:tcPr>
          <w:p w14:paraId="1BB1A8FA"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Las personas Permisionarias de Despacho para Autoconsumo de Petrolíferos deben reportar el volumen de despacho de los Petrolíferos en las instalaciones amparadas en el permiso, conforme a la Normatividad que para tal efecto emita la Comisión.</w:t>
            </w:r>
          </w:p>
        </w:tc>
        <w:tc>
          <w:tcPr>
            <w:tcW w:w="4649" w:type="dxa"/>
          </w:tcPr>
          <w:p w14:paraId="52C0F29B" w14:textId="25E008E3"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Permit holders of dispatch for self-consumption of petroleum products must report the volume of petroleum products dispatched at the facilities covered by the permit, in accordance with the Regulation issued for this purpose by the Commission.</w:t>
            </w:r>
          </w:p>
        </w:tc>
      </w:tr>
      <w:tr w:rsidR="009849AC" w:rsidRPr="002C0F16" w14:paraId="52B27B78" w14:textId="4F27F348" w:rsidTr="00F867DE">
        <w:tc>
          <w:tcPr>
            <w:tcW w:w="4711" w:type="dxa"/>
          </w:tcPr>
          <w:p w14:paraId="2F00F48C"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En caso de que las personas Permisionarias de Despacho para Autoconsumo reciban solicitudes de compra de Petrolíferos, deben reportar semestralmente el número de solicitudes y la razón social de la persona solicitante.</w:t>
            </w:r>
          </w:p>
        </w:tc>
        <w:tc>
          <w:tcPr>
            <w:tcW w:w="4649" w:type="dxa"/>
          </w:tcPr>
          <w:p w14:paraId="4AACFC3A" w14:textId="0912A4D5"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If Self-Consumption dispatch permit holders receive requests for the purchase of petroleum products, they must report the number of requests and the applicant's business name every six months.</w:t>
            </w:r>
          </w:p>
        </w:tc>
      </w:tr>
      <w:tr w:rsidR="009849AC" w:rsidRPr="002C0F16" w14:paraId="03CBC660" w14:textId="69552C90" w:rsidTr="00F867DE">
        <w:tc>
          <w:tcPr>
            <w:tcW w:w="4711" w:type="dxa"/>
          </w:tcPr>
          <w:p w14:paraId="243797EB"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El Despacho para Autoconsumo de Petrolíferos debe llevarse a cabo conforme a las características que establezcan la Comisión y la Agencia, que debe ser a través de Estaciones de Servicio con Fin Específico o plantas de Distribución.</w:t>
            </w:r>
          </w:p>
        </w:tc>
        <w:tc>
          <w:tcPr>
            <w:tcW w:w="4649" w:type="dxa"/>
          </w:tcPr>
          <w:p w14:paraId="039B74F2" w14:textId="3EF8F53B"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Dispatch for self-consumption of petroleum products must be carried out in accordance with the specifications established by the Commission and the Agency, which must be through special purpose service stations or distribution plants.</w:t>
            </w:r>
          </w:p>
        </w:tc>
      </w:tr>
      <w:tr w:rsidR="009849AC" w:rsidRPr="002C0F16" w14:paraId="1FB7FE7D" w14:textId="7DE21937" w:rsidTr="00F867DE">
        <w:tc>
          <w:tcPr>
            <w:tcW w:w="4711" w:type="dxa"/>
          </w:tcPr>
          <w:p w14:paraId="3B860699"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Asimismo, la persona Permisionaria debe cumplir con los criterios de seguridad industrial, de seguridad operativa y de protección al medio ambiente emitidos por la Agencia.</w:t>
            </w:r>
          </w:p>
        </w:tc>
        <w:tc>
          <w:tcPr>
            <w:tcW w:w="4649" w:type="dxa"/>
          </w:tcPr>
          <w:p w14:paraId="65EE40C0" w14:textId="0A30AD33"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Likewise, the permit holder must comply with the industrial safety, operational safety, and environmental protection criteria issued by the Agency.</w:t>
            </w:r>
          </w:p>
        </w:tc>
      </w:tr>
      <w:tr w:rsidR="009849AC" w:rsidRPr="00D0180E" w14:paraId="64510770" w14:textId="0036E3A4" w:rsidTr="00F867DE">
        <w:tc>
          <w:tcPr>
            <w:tcW w:w="4711" w:type="dxa"/>
          </w:tcPr>
          <w:p w14:paraId="70AAD241"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Sección Décima Primera</w:t>
            </w:r>
          </w:p>
        </w:tc>
        <w:tc>
          <w:tcPr>
            <w:tcW w:w="4649" w:type="dxa"/>
          </w:tcPr>
          <w:p w14:paraId="54C7AE8B" w14:textId="29885877" w:rsidR="009849AC" w:rsidRPr="00837D4A" w:rsidRDefault="009849AC" w:rsidP="009849AC">
            <w:pPr>
              <w:pStyle w:val="Texto"/>
              <w:spacing w:line="236" w:lineRule="exact"/>
              <w:ind w:firstLine="0"/>
              <w:jc w:val="center"/>
              <w:rPr>
                <w:rFonts w:ascii="Verdana" w:hAnsi="Verdana"/>
                <w:b/>
                <w:sz w:val="16"/>
                <w:szCs w:val="16"/>
                <w:lang w:val="en-US"/>
              </w:rPr>
            </w:pPr>
            <w:proofErr w:type="spellStart"/>
            <w:r w:rsidRPr="00837D4A">
              <w:rPr>
                <w:rFonts w:ascii="Verdana" w:hAnsi="Verdana"/>
                <w:b/>
                <w:sz w:val="16"/>
                <w:szCs w:val="16"/>
              </w:rPr>
              <w:t>Eleventh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r w:rsidRPr="00837D4A">
              <w:rPr>
                <w:rFonts w:ascii="Verdana" w:hAnsi="Verdana"/>
                <w:b/>
                <w:sz w:val="16"/>
                <w:szCs w:val="16"/>
              </w:rPr>
              <w:t xml:space="preserve"> </w:t>
            </w:r>
          </w:p>
        </w:tc>
      </w:tr>
      <w:tr w:rsidR="009849AC" w:rsidRPr="002C0F16" w14:paraId="2ECDAB43" w14:textId="0B7FEB89" w:rsidTr="00F867DE">
        <w:tc>
          <w:tcPr>
            <w:tcW w:w="4711" w:type="dxa"/>
          </w:tcPr>
          <w:p w14:paraId="13974F66"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De la Distribución de Combustibles para Aeronaves</w:t>
            </w:r>
          </w:p>
        </w:tc>
        <w:tc>
          <w:tcPr>
            <w:tcW w:w="4649" w:type="dxa"/>
          </w:tcPr>
          <w:p w14:paraId="457B8AE3" w14:textId="6EB69C81" w:rsidR="009849AC" w:rsidRPr="00837D4A" w:rsidRDefault="009849AC" w:rsidP="009849AC">
            <w:pPr>
              <w:pStyle w:val="Texto"/>
              <w:spacing w:line="236" w:lineRule="exact"/>
              <w:ind w:firstLine="0"/>
              <w:jc w:val="center"/>
              <w:rPr>
                <w:rFonts w:ascii="Verdana" w:hAnsi="Verdana"/>
                <w:b/>
                <w:sz w:val="16"/>
                <w:szCs w:val="16"/>
                <w:lang w:val="en-US"/>
              </w:rPr>
            </w:pPr>
            <w:r w:rsidRPr="00837D4A">
              <w:rPr>
                <w:rFonts w:ascii="Verdana" w:hAnsi="Verdana"/>
                <w:b/>
                <w:sz w:val="16"/>
                <w:szCs w:val="16"/>
                <w:lang w:val="en-US"/>
              </w:rPr>
              <w:t>Distribution of Aircraft Fuels</w:t>
            </w:r>
          </w:p>
        </w:tc>
      </w:tr>
      <w:tr w:rsidR="009849AC" w:rsidRPr="002C0F16" w14:paraId="00B532E4" w14:textId="2F8BEF12" w:rsidTr="00F867DE">
        <w:tc>
          <w:tcPr>
            <w:tcW w:w="4711" w:type="dxa"/>
          </w:tcPr>
          <w:p w14:paraId="232FED74"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Artículo 141.</w:t>
            </w:r>
            <w:r w:rsidRPr="00837D4A">
              <w:rPr>
                <w:rFonts w:ascii="Verdana" w:hAnsi="Verdana"/>
                <w:sz w:val="16"/>
                <w:szCs w:val="16"/>
              </w:rPr>
              <w:t xml:space="preserve"> Para efectos del artículo 110, tercer párrafo de la Ley, las personas Particulares, empresas públicas del Estado o entidades paraestatales que soliciten el pronunciamiento favorable de la Secretaría y de la Secretaría de Infraestructura, Comunicaciones y Transportes deben presentar con su solicitud ante cada autoridad al menos lo siguiente:</w:t>
            </w:r>
          </w:p>
        </w:tc>
        <w:tc>
          <w:tcPr>
            <w:tcW w:w="4649" w:type="dxa"/>
          </w:tcPr>
          <w:p w14:paraId="265F5FC1" w14:textId="2C7A5959"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141. </w:t>
            </w:r>
            <w:r w:rsidRPr="00837D4A">
              <w:rPr>
                <w:rFonts w:ascii="Verdana" w:hAnsi="Verdana"/>
                <w:sz w:val="16"/>
                <w:szCs w:val="16"/>
                <w:lang w:val="en-US"/>
              </w:rPr>
              <w:t>For the purposes of Article 110, third paragraph of the Law, private individuals, public companies of the State or parastatal entities that request a favorable ruling from the Secretary and the Secretary of Infrastructure, Communications and Transportation must submit with their request to each authority at least the following:</w:t>
            </w:r>
          </w:p>
        </w:tc>
      </w:tr>
      <w:tr w:rsidR="009849AC" w:rsidRPr="002C0F16" w14:paraId="131060B3" w14:textId="33E93D44" w:rsidTr="00F867DE">
        <w:tc>
          <w:tcPr>
            <w:tcW w:w="4711" w:type="dxa"/>
          </w:tcPr>
          <w:p w14:paraId="426E0DB3"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Volumen de combustible aéreo a adquirir;</w:t>
            </w:r>
          </w:p>
        </w:tc>
        <w:tc>
          <w:tcPr>
            <w:tcW w:w="4649" w:type="dxa"/>
          </w:tcPr>
          <w:p w14:paraId="15E01E7D" w14:textId="248CFD87"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Volume of aviation fuel to be purchased;</w:t>
            </w:r>
          </w:p>
        </w:tc>
      </w:tr>
      <w:tr w:rsidR="009849AC" w:rsidRPr="002C0F16" w14:paraId="0848AFF1" w14:textId="51FE7182" w:rsidTr="00F867DE">
        <w:tc>
          <w:tcPr>
            <w:tcW w:w="4711" w:type="dxa"/>
          </w:tcPr>
          <w:p w14:paraId="765A7BB4"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Medio de Transporte a utilizar para el traslado del combustible aéreo y el permiso asociado;</w:t>
            </w:r>
          </w:p>
        </w:tc>
        <w:tc>
          <w:tcPr>
            <w:tcW w:w="4649" w:type="dxa"/>
          </w:tcPr>
          <w:p w14:paraId="295568BC" w14:textId="4FE6DBF0"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Means of transport to be used for the transfer of air fuel and the associated permit;</w:t>
            </w:r>
          </w:p>
        </w:tc>
      </w:tr>
      <w:tr w:rsidR="009849AC" w:rsidRPr="002C0F16" w14:paraId="73B88D5F" w14:textId="4C9FCC56" w:rsidTr="00F867DE">
        <w:tc>
          <w:tcPr>
            <w:tcW w:w="4711" w:type="dxa"/>
          </w:tcPr>
          <w:p w14:paraId="6792544A"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Uso o destino del combustible aéreo a adquirir, y</w:t>
            </w:r>
          </w:p>
        </w:tc>
        <w:tc>
          <w:tcPr>
            <w:tcW w:w="4649" w:type="dxa"/>
          </w:tcPr>
          <w:p w14:paraId="296EE97E" w14:textId="6690735B"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Use or destination of the aviation fuel to be acquired, and</w:t>
            </w:r>
          </w:p>
        </w:tc>
      </w:tr>
      <w:tr w:rsidR="009849AC" w:rsidRPr="002C0F16" w14:paraId="4B59DD3B" w14:textId="1F004FFB" w:rsidTr="00F867DE">
        <w:tc>
          <w:tcPr>
            <w:tcW w:w="4711" w:type="dxa"/>
          </w:tcPr>
          <w:p w14:paraId="0A146456" w14:textId="77777777" w:rsidR="009849AC" w:rsidRPr="00837D4A" w:rsidRDefault="009849AC" w:rsidP="009849AC">
            <w:pPr>
              <w:pStyle w:val="Texto"/>
              <w:spacing w:line="236"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Forma en que, en su caso, se va a disponer el combustible aéreo sobrante.</w:t>
            </w:r>
          </w:p>
        </w:tc>
        <w:tc>
          <w:tcPr>
            <w:tcW w:w="4649" w:type="dxa"/>
          </w:tcPr>
          <w:p w14:paraId="6A09156A" w14:textId="4EA65CD9"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Manner in which, if applicable, surplus aviation fuel will be disposed of.</w:t>
            </w:r>
          </w:p>
        </w:tc>
      </w:tr>
      <w:tr w:rsidR="009849AC" w:rsidRPr="002C0F16" w14:paraId="0F7D3B07" w14:textId="79877D6A" w:rsidTr="00F867DE">
        <w:tc>
          <w:tcPr>
            <w:tcW w:w="4711" w:type="dxa"/>
          </w:tcPr>
          <w:p w14:paraId="5188FDCB"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Las personas Permisionarias que suministren el combustible a las personas referidas en el artículo 110, fracción III de la Ley, antes de entregar el combustible aéreo deben verificar que las terceras personas cuenten con los pronunciamientos favorables a que se refiere el presente artículo.</w:t>
            </w:r>
          </w:p>
        </w:tc>
        <w:tc>
          <w:tcPr>
            <w:tcW w:w="4649" w:type="dxa"/>
          </w:tcPr>
          <w:p w14:paraId="5DE339A7" w14:textId="5F44D529"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Permit holders who supply fuel to the persons referred to in Article 110, Section III of the Law, must verify that the third parties have the favorable pronouncements referred to in this article before delivering the aviation fuel.</w:t>
            </w:r>
          </w:p>
        </w:tc>
      </w:tr>
      <w:tr w:rsidR="009849AC" w:rsidRPr="00D0180E" w14:paraId="1C158880" w14:textId="7127961B" w:rsidTr="00F867DE">
        <w:tc>
          <w:tcPr>
            <w:tcW w:w="4711" w:type="dxa"/>
          </w:tcPr>
          <w:p w14:paraId="524E2CB2"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Capítulo III</w:t>
            </w:r>
          </w:p>
        </w:tc>
        <w:tc>
          <w:tcPr>
            <w:tcW w:w="4649" w:type="dxa"/>
          </w:tcPr>
          <w:p w14:paraId="16B66CDE" w14:textId="6EB2680C" w:rsidR="009849AC" w:rsidRPr="00837D4A" w:rsidRDefault="009849AC" w:rsidP="009849AC">
            <w:pPr>
              <w:pStyle w:val="Texto"/>
              <w:spacing w:line="236" w:lineRule="exact"/>
              <w:ind w:firstLine="0"/>
              <w:jc w:val="center"/>
              <w:rPr>
                <w:rFonts w:ascii="Verdana" w:hAnsi="Verdana"/>
                <w:b/>
                <w:sz w:val="16"/>
                <w:szCs w:val="16"/>
                <w:lang w:val="en-US"/>
              </w:rPr>
            </w:pPr>
            <w:r w:rsidRPr="00837D4A">
              <w:rPr>
                <w:rFonts w:ascii="Verdana" w:hAnsi="Verdana"/>
                <w:b/>
                <w:sz w:val="16"/>
                <w:szCs w:val="16"/>
                <w:lang w:val="en-US"/>
              </w:rPr>
              <w:t>Chapter III</w:t>
            </w:r>
          </w:p>
        </w:tc>
      </w:tr>
      <w:tr w:rsidR="009849AC" w:rsidRPr="00D0180E" w14:paraId="1D51586A" w14:textId="6F7B3937" w:rsidTr="00F867DE">
        <w:tc>
          <w:tcPr>
            <w:tcW w:w="4711" w:type="dxa"/>
          </w:tcPr>
          <w:p w14:paraId="01225631" w14:textId="77777777" w:rsidR="009849AC" w:rsidRPr="00837D4A" w:rsidRDefault="009849AC" w:rsidP="009849AC">
            <w:pPr>
              <w:pStyle w:val="Texto"/>
              <w:spacing w:line="236" w:lineRule="exact"/>
              <w:ind w:firstLine="0"/>
              <w:jc w:val="center"/>
              <w:rPr>
                <w:rFonts w:ascii="Verdana" w:hAnsi="Verdana"/>
                <w:b/>
                <w:sz w:val="16"/>
                <w:szCs w:val="16"/>
              </w:rPr>
            </w:pPr>
            <w:r w:rsidRPr="00837D4A">
              <w:rPr>
                <w:rFonts w:ascii="Verdana" w:hAnsi="Verdana"/>
                <w:b/>
                <w:sz w:val="16"/>
                <w:szCs w:val="16"/>
              </w:rPr>
              <w:t>Del Procedimiento para la Obtención de Permisos</w:t>
            </w:r>
          </w:p>
        </w:tc>
        <w:tc>
          <w:tcPr>
            <w:tcW w:w="4649" w:type="dxa"/>
          </w:tcPr>
          <w:p w14:paraId="654EF880" w14:textId="4D4E929D" w:rsidR="009849AC" w:rsidRPr="00837D4A" w:rsidRDefault="009849AC" w:rsidP="009849AC">
            <w:pPr>
              <w:pStyle w:val="Texto"/>
              <w:spacing w:line="236" w:lineRule="exact"/>
              <w:ind w:firstLine="0"/>
              <w:jc w:val="center"/>
              <w:rPr>
                <w:rFonts w:ascii="Verdana" w:hAnsi="Verdana"/>
                <w:b/>
                <w:sz w:val="16"/>
                <w:szCs w:val="16"/>
                <w:lang w:val="en-US"/>
              </w:rPr>
            </w:pPr>
            <w:r w:rsidRPr="00837D4A">
              <w:rPr>
                <w:rFonts w:ascii="Verdana" w:hAnsi="Verdana"/>
                <w:b/>
                <w:sz w:val="16"/>
                <w:szCs w:val="16"/>
                <w:lang w:val="en-US"/>
              </w:rPr>
              <w:t>Procedure for Obtaining Permits</w:t>
            </w:r>
          </w:p>
        </w:tc>
      </w:tr>
      <w:tr w:rsidR="009849AC" w:rsidRPr="002C0F16" w14:paraId="70491A08" w14:textId="21A03AB7" w:rsidTr="00F867DE">
        <w:tc>
          <w:tcPr>
            <w:tcW w:w="4711" w:type="dxa"/>
          </w:tcPr>
          <w:p w14:paraId="54B9A057"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Artículo 142. </w:t>
            </w:r>
            <w:r w:rsidRPr="00837D4A">
              <w:rPr>
                <w:rFonts w:ascii="Verdana" w:hAnsi="Verdana"/>
                <w:sz w:val="16"/>
                <w:szCs w:val="16"/>
              </w:rPr>
              <w:t>Las personas interesadas en obtener los permisos a que se refiere la Ley y este reglamento, deben presentar la solicitud a la Secretaría o a la Comisión, según corresponda, con todos los requisitos previstos en la Ley, este reglamento y en la demás Normatividad aplicable. Las solicitudes de permiso que no cumplan con los requisitos previstos completos se deben tener por no admitidas.</w:t>
            </w:r>
          </w:p>
        </w:tc>
        <w:tc>
          <w:tcPr>
            <w:tcW w:w="4649" w:type="dxa"/>
          </w:tcPr>
          <w:p w14:paraId="1AF94DC2" w14:textId="0841F1CC"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142. </w:t>
            </w:r>
            <w:r w:rsidRPr="00837D4A">
              <w:rPr>
                <w:rFonts w:ascii="Verdana" w:hAnsi="Verdana"/>
                <w:sz w:val="16"/>
                <w:szCs w:val="16"/>
                <w:lang w:val="en-US"/>
              </w:rPr>
              <w:t>Persons interested in obtaining the permits referred to in the Law and this Regulation must submit the application to the Secretary or the Commission, as appropriate, with all the requirements set forth in the Law, this Regulation, and other applicable legislation. Permit applications that do not fully comply with the requirements set forth in this Law shall be deemed rejected.</w:t>
            </w:r>
          </w:p>
        </w:tc>
      </w:tr>
      <w:tr w:rsidR="009849AC" w:rsidRPr="002C0F16" w14:paraId="12B09181" w14:textId="6928C5B2" w:rsidTr="00F867DE">
        <w:tc>
          <w:tcPr>
            <w:tcW w:w="4711" w:type="dxa"/>
          </w:tcPr>
          <w:p w14:paraId="3F78A722"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Las solicitudes para obtener un permiso de importación y exportación de Hidrocarburos, Petrolíferos y Petroquímicos, deben cumplir con los requisitos que se establezcan en el presente reglamento, la planeación vinculante y el acuerdo que para tal efecto expidan en conjunto la Secretaría y la Secretaría de Economía, de conformidad con lo establecido en la Ley de Comercio Exterior.</w:t>
            </w:r>
          </w:p>
        </w:tc>
        <w:tc>
          <w:tcPr>
            <w:tcW w:w="4649" w:type="dxa"/>
          </w:tcPr>
          <w:p w14:paraId="5C351CAC" w14:textId="6EFD7321"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 xml:space="preserve">Applications for import and export permits for hydrocarbons, petroleum products, and petrochemicals must comply with the requirements established in this Regulation, the binding planning, and the agreement issued jointly by the Secretary and the Secretary of Economy, in accordance with the provisions of the </w:t>
            </w:r>
            <w:r w:rsidR="003E22BD">
              <w:rPr>
                <w:rFonts w:ascii="Verdana" w:hAnsi="Verdana"/>
                <w:sz w:val="16"/>
                <w:szCs w:val="16"/>
                <w:lang w:val="en-US"/>
              </w:rPr>
              <w:t>Law of Foreign Commerce</w:t>
            </w:r>
            <w:r w:rsidRPr="00837D4A">
              <w:rPr>
                <w:rFonts w:ascii="Verdana" w:hAnsi="Verdana"/>
                <w:sz w:val="16"/>
                <w:szCs w:val="16"/>
                <w:lang w:val="en-US"/>
              </w:rPr>
              <w:t>.</w:t>
            </w:r>
          </w:p>
        </w:tc>
      </w:tr>
      <w:tr w:rsidR="009849AC" w:rsidRPr="002C0F16" w14:paraId="70339E67" w14:textId="7C99D89C" w:rsidTr="00F867DE">
        <w:tc>
          <w:tcPr>
            <w:tcW w:w="4711" w:type="dxa"/>
          </w:tcPr>
          <w:p w14:paraId="1ACAC6A6"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La Secretaría y la Comisión deben expedir, mediante la Normatividad, los formatos y las especificaciones, en su caso, de los requisitos referidos en el artículo 96 de este reglamento, para cada actividad permisionada.</w:t>
            </w:r>
          </w:p>
        </w:tc>
        <w:tc>
          <w:tcPr>
            <w:tcW w:w="4649" w:type="dxa"/>
          </w:tcPr>
          <w:p w14:paraId="3517C89E" w14:textId="1DA6BAF5"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The Secretary and the Commission must issue, through the Regulation, the formats and specifications, where applicable, of the requirements referred to in Article 96 of this regulation, for each permitted activity.</w:t>
            </w:r>
          </w:p>
        </w:tc>
      </w:tr>
      <w:tr w:rsidR="009849AC" w:rsidRPr="002C0F16" w14:paraId="3E601D24" w14:textId="6C781742" w:rsidTr="00F867DE">
        <w:tc>
          <w:tcPr>
            <w:tcW w:w="4711" w:type="dxa"/>
          </w:tcPr>
          <w:p w14:paraId="0750B5EE"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Artículo 143. </w:t>
            </w:r>
            <w:r w:rsidRPr="00837D4A">
              <w:rPr>
                <w:rFonts w:ascii="Verdana" w:hAnsi="Verdana"/>
                <w:sz w:val="16"/>
                <w:szCs w:val="16"/>
              </w:rPr>
              <w:t>Con excepción de los permisos de importación y exportación, para que sea otorgado un permiso por parte de la Secretaría o la Comisión, según corresponda, se debe observar lo siguiente:</w:t>
            </w:r>
          </w:p>
        </w:tc>
        <w:tc>
          <w:tcPr>
            <w:tcW w:w="4649" w:type="dxa"/>
          </w:tcPr>
          <w:p w14:paraId="56213237" w14:textId="7733EA6A"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Article 143. </w:t>
            </w:r>
            <w:r w:rsidRPr="00837D4A">
              <w:rPr>
                <w:rFonts w:ascii="Verdana" w:hAnsi="Verdana"/>
                <w:sz w:val="16"/>
                <w:szCs w:val="16"/>
                <w:lang w:val="en-US"/>
              </w:rPr>
              <w:t>With the exception of import and export permits, for a permit to be granted by the Secretary or the Commission, as appropriate, the following must be observed:</w:t>
            </w:r>
          </w:p>
        </w:tc>
      </w:tr>
      <w:tr w:rsidR="009849AC" w:rsidRPr="002C0F16" w14:paraId="349A19F0" w14:textId="52904FE8" w:rsidTr="00F867DE">
        <w:tc>
          <w:tcPr>
            <w:tcW w:w="4711" w:type="dxa"/>
          </w:tcPr>
          <w:p w14:paraId="084AB1F8"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w:t>
            </w:r>
            <w:r w:rsidRPr="00837D4A">
              <w:rPr>
                <w:rFonts w:ascii="Verdana" w:hAnsi="Verdana"/>
                <w:b/>
                <w:sz w:val="16"/>
                <w:szCs w:val="16"/>
              </w:rPr>
              <w:t xml:space="preserve"> </w:t>
            </w:r>
            <w:r w:rsidRPr="00837D4A">
              <w:rPr>
                <w:rFonts w:ascii="Verdana" w:hAnsi="Verdana"/>
                <w:sz w:val="16"/>
                <w:szCs w:val="16"/>
              </w:rPr>
              <w:t>Secretaría o la Comisión, según corresponda, debe pronunciarse sobre la admisión a trámite de la solicitud dentro de los diez días hábiles siguientes a la recepción de esta.</w:t>
            </w:r>
          </w:p>
        </w:tc>
        <w:tc>
          <w:tcPr>
            <w:tcW w:w="4649" w:type="dxa"/>
          </w:tcPr>
          <w:p w14:paraId="05564EA7" w14:textId="0BDCB677"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Pr="00837D4A">
              <w:rPr>
                <w:rFonts w:ascii="Verdana" w:hAnsi="Verdana"/>
                <w:sz w:val="16"/>
                <w:szCs w:val="16"/>
                <w:lang w:val="en-US"/>
              </w:rPr>
              <w:t>Secretary or the Commission, as appropriate, must decide on the admission of the application for processing within ten working days of receiving it.</w:t>
            </w:r>
          </w:p>
        </w:tc>
      </w:tr>
      <w:tr w:rsidR="009849AC" w:rsidRPr="002C0F16" w14:paraId="702BEFC7" w14:textId="5B140833" w:rsidTr="00F867DE">
        <w:tc>
          <w:tcPr>
            <w:tcW w:w="4711" w:type="dxa"/>
          </w:tcPr>
          <w:p w14:paraId="16E1D16D"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Si dentro del plazo a que se refiere esta fracción, se determina la omisión de algún requisito, se debe requerir a la persona solicitante a efecto de que subsane la omisión dentro de los diez días hábiles siguientes a la notificación del requerimiento respectivo. El plazo para la admisión a trámite de la solicitud se debe suspender y se reanuda hasta el día hábil siguiente a aquel en el que concluya el plazo para subsanar la omisión.</w:t>
            </w:r>
          </w:p>
        </w:tc>
        <w:tc>
          <w:tcPr>
            <w:tcW w:w="4649" w:type="dxa"/>
          </w:tcPr>
          <w:p w14:paraId="2A8B7AD3" w14:textId="4A088559"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If, within the period referred to in this section, a requirement is found to have been omitted, the applicant must be required to correct the omission within ten business days following notification of the respective requirement. The deadline for processing the application must be suspended and resumed on the business day following the deadline for correcting the omission.</w:t>
            </w:r>
          </w:p>
        </w:tc>
      </w:tr>
      <w:tr w:rsidR="009849AC" w:rsidRPr="002C0F16" w14:paraId="25170A21" w14:textId="43F3B284" w:rsidTr="00F867DE">
        <w:tc>
          <w:tcPr>
            <w:tcW w:w="4711" w:type="dxa"/>
          </w:tcPr>
          <w:p w14:paraId="609A9370"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lang w:val="en-US"/>
              </w:rPr>
              <w:lastRenderedPageBreak/>
              <w:tab/>
            </w:r>
            <w:r w:rsidRPr="00837D4A">
              <w:rPr>
                <w:rFonts w:ascii="Verdana" w:hAnsi="Verdana"/>
                <w:sz w:val="16"/>
                <w:szCs w:val="16"/>
              </w:rPr>
              <w:t>En caso de que la persona solicitante no desahogue o no cumpla con lo previsto por dicho requerimiento en tiempo y forma, la Secretaría o la Comisión, según corresponda, debe tener por no admitida la solicitud;</w:t>
            </w:r>
          </w:p>
        </w:tc>
        <w:tc>
          <w:tcPr>
            <w:tcW w:w="4649" w:type="dxa"/>
          </w:tcPr>
          <w:p w14:paraId="77143ED4" w14:textId="2B4DF279"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In the event that the applicant does not address or comply with the requirements of said requirement in a timely manner, the Secretary or the Commission, as appropriate, must consider the application rejected;</w:t>
            </w:r>
          </w:p>
        </w:tc>
      </w:tr>
      <w:tr w:rsidR="009849AC" w:rsidRPr="002C0F16" w14:paraId="27E001FF" w14:textId="5EBB32CA" w:rsidTr="00F867DE">
        <w:tc>
          <w:tcPr>
            <w:tcW w:w="4711" w:type="dxa"/>
          </w:tcPr>
          <w:p w14:paraId="7FEC50AD"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A</w:t>
            </w:r>
            <w:r w:rsidRPr="00837D4A">
              <w:rPr>
                <w:rFonts w:ascii="Verdana" w:hAnsi="Verdana"/>
                <w:b/>
                <w:sz w:val="16"/>
                <w:szCs w:val="16"/>
              </w:rPr>
              <w:t xml:space="preserve"> </w:t>
            </w:r>
            <w:r w:rsidRPr="00837D4A">
              <w:rPr>
                <w:rFonts w:ascii="Verdana" w:hAnsi="Verdana"/>
                <w:sz w:val="16"/>
                <w:szCs w:val="16"/>
              </w:rPr>
              <w:t>partir de que surta efectos la notificación de la admisión de la solicitud, la Secretaría o la Comisión, según corresponda, debe llevar a cabo el análisis y evaluación de esta, para lo cual cuentan con un plazo de setenta días hábiles para resolver lo conducente;</w:t>
            </w:r>
          </w:p>
        </w:tc>
        <w:tc>
          <w:tcPr>
            <w:tcW w:w="4649" w:type="dxa"/>
          </w:tcPr>
          <w:p w14:paraId="4E985F40" w14:textId="4F2E9912"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From the moment the notification of the admission of the application takes effect, the Secretary or the Commission, as appropriate, must carry out the analysis and evaluation of the application, for which they have a period of seventy working days to resolve the relevant matter;</w:t>
            </w:r>
          </w:p>
        </w:tc>
      </w:tr>
      <w:tr w:rsidR="009849AC" w:rsidRPr="002C0F16" w14:paraId="7E6201BB" w14:textId="468AFB5B" w:rsidTr="00F867DE">
        <w:tc>
          <w:tcPr>
            <w:tcW w:w="4711" w:type="dxa"/>
          </w:tcPr>
          <w:p w14:paraId="57B964EF"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Durante los primeros treinta días hábiles del plazo referido en la fracción anterior, la Secretaría o la Comisión, según corresponda, debe analizar la información presentada y puede prevenir, por única ocasión a la persona solicitante, para que, dentro del plazo de treinta días hábiles, contados a partir de que surta efectos la notificación de la prevención, presente en un solo acto la información que atienda la prevención.</w:t>
            </w:r>
          </w:p>
        </w:tc>
        <w:tc>
          <w:tcPr>
            <w:tcW w:w="4649" w:type="dxa"/>
          </w:tcPr>
          <w:p w14:paraId="5CD9BB7B" w14:textId="0A130950"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During the first thirty business days of the period referred to in the preceding section, the Secretary or the Commission, as appropriate, must analyze the information submitted and may, on one occasion only, advise the applicant to submit, within the period of thirty business days, counted from the date the notification of the prevention</w:t>
            </w:r>
            <w:r w:rsidRPr="00837D4A">
              <w:rPr>
                <w:rStyle w:val="FootnoteReference"/>
                <w:rFonts w:ascii="Verdana" w:hAnsi="Verdana"/>
                <w:sz w:val="16"/>
                <w:szCs w:val="16"/>
                <w:lang w:val="en-US"/>
              </w:rPr>
              <w:footnoteReference w:id="3"/>
            </w:r>
            <w:r w:rsidRPr="00837D4A">
              <w:rPr>
                <w:rFonts w:ascii="Verdana" w:hAnsi="Verdana"/>
                <w:sz w:val="16"/>
                <w:szCs w:val="16"/>
                <w:lang w:val="en-US"/>
              </w:rPr>
              <w:t xml:space="preserve"> takes effect, in a single act, the information that addresses the prevention.</w:t>
            </w:r>
          </w:p>
        </w:tc>
      </w:tr>
      <w:tr w:rsidR="009849AC" w:rsidRPr="002C0F16" w14:paraId="65E5F7F1" w14:textId="27FA4D54" w:rsidTr="00F867DE">
        <w:tc>
          <w:tcPr>
            <w:tcW w:w="4711" w:type="dxa"/>
          </w:tcPr>
          <w:p w14:paraId="10E96C21"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Únicamente dentro del plazo para desahogar la prevención, la persona solicitante puede presentar información adicional de manera excepcional.</w:t>
            </w:r>
          </w:p>
        </w:tc>
        <w:tc>
          <w:tcPr>
            <w:tcW w:w="4649" w:type="dxa"/>
          </w:tcPr>
          <w:p w14:paraId="48755BB8" w14:textId="1EB2A267" w:rsidR="009849AC" w:rsidRPr="00837D4A" w:rsidRDefault="009849AC" w:rsidP="009849AC">
            <w:pPr>
              <w:pStyle w:val="Texto"/>
              <w:spacing w:line="217"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Only within the time limit for filing a complaint may the applicant submit additional information on an exceptional basis.</w:t>
            </w:r>
          </w:p>
        </w:tc>
      </w:tr>
      <w:tr w:rsidR="009849AC" w:rsidRPr="002C0F16" w14:paraId="54148581" w14:textId="594C7144" w:rsidTr="00F867DE">
        <w:tc>
          <w:tcPr>
            <w:tcW w:w="4711" w:type="dxa"/>
          </w:tcPr>
          <w:p w14:paraId="4265BD1B"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Cuando la Secretaría o la Comisión prevenga a la persona solicitante en términos del primer párrafo de esta fracción, el plazo de evaluación de la solicitud se suspende y se reanuda hasta el día hábil siguiente a aquel en el que concluya el plazo otorgado.</w:t>
            </w:r>
          </w:p>
        </w:tc>
        <w:tc>
          <w:tcPr>
            <w:tcW w:w="4649" w:type="dxa"/>
          </w:tcPr>
          <w:p w14:paraId="64A22C38" w14:textId="1318488A" w:rsidR="009849AC" w:rsidRPr="00837D4A" w:rsidRDefault="009849AC" w:rsidP="009849AC">
            <w:pPr>
              <w:pStyle w:val="Texto"/>
              <w:spacing w:line="217"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When the Secretary or the Commission notifies the applicant in accordance with the first paragraph of this section, the application evaluation period is suspended and resumes on the business day following the date on which the granted period expires.</w:t>
            </w:r>
          </w:p>
        </w:tc>
      </w:tr>
      <w:tr w:rsidR="009849AC" w:rsidRPr="002C0F16" w14:paraId="2594A48D" w14:textId="3C875D79" w:rsidTr="00F867DE">
        <w:tc>
          <w:tcPr>
            <w:tcW w:w="4711" w:type="dxa"/>
          </w:tcPr>
          <w:p w14:paraId="325297C1"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Si transcurrido dicho plazo la persona solicitante no desahoga o no cumple en tiempo y forma la prevención, se debe desechar la solicitud.</w:t>
            </w:r>
          </w:p>
        </w:tc>
        <w:tc>
          <w:tcPr>
            <w:tcW w:w="4649" w:type="dxa"/>
          </w:tcPr>
          <w:p w14:paraId="3019D1D6" w14:textId="005F148B" w:rsidR="009849AC" w:rsidRPr="00837D4A" w:rsidRDefault="009849AC" w:rsidP="009849AC">
            <w:pPr>
              <w:pStyle w:val="Texto"/>
              <w:spacing w:line="217"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If, after this period, the applicant does not address or comply with the warning in a timely manner, the application must be rejected.</w:t>
            </w:r>
          </w:p>
        </w:tc>
      </w:tr>
      <w:tr w:rsidR="009849AC" w:rsidRPr="002C0F16" w14:paraId="199AEB35" w14:textId="6993C147" w:rsidTr="00F867DE">
        <w:tc>
          <w:tcPr>
            <w:tcW w:w="4711" w:type="dxa"/>
          </w:tcPr>
          <w:p w14:paraId="52797C1B"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Cualquier información presentada con posterioridad al plazo señalado para la prevención, se debe entender como no presentada y no amerita pronunciamiento particular en la resolución derivada de la evaluación de la solicitud;</w:t>
            </w:r>
          </w:p>
        </w:tc>
        <w:tc>
          <w:tcPr>
            <w:tcW w:w="4649" w:type="dxa"/>
          </w:tcPr>
          <w:p w14:paraId="646AA605" w14:textId="5AA3BA5D" w:rsidR="009849AC" w:rsidRPr="00837D4A" w:rsidRDefault="009849AC" w:rsidP="009849AC">
            <w:pPr>
              <w:pStyle w:val="Texto"/>
              <w:spacing w:line="217"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Any information submitted after the deadline established for prevention must be understood as not submitted and does not merit a particular pronouncement in the resolution derived from the evaluation of the request;</w:t>
            </w:r>
          </w:p>
        </w:tc>
      </w:tr>
      <w:tr w:rsidR="009849AC" w:rsidRPr="002C0F16" w14:paraId="5216439D" w14:textId="6A6FF6DD" w:rsidTr="00F867DE">
        <w:tc>
          <w:tcPr>
            <w:tcW w:w="4711" w:type="dxa"/>
          </w:tcPr>
          <w:p w14:paraId="673E0A19"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Concluido el plazo otorgado para atender la prevención señalada en la fracción III de este artículo, la Secretaría o la Comisión, según corresponda, puede requerir a la persona solicitante, por única ocasión, la presentación de documentación o aclaraciones relacionadas con la información presentada.</w:t>
            </w:r>
          </w:p>
        </w:tc>
        <w:tc>
          <w:tcPr>
            <w:tcW w:w="4649" w:type="dxa"/>
          </w:tcPr>
          <w:p w14:paraId="645E6F73" w14:textId="0D6FFC85"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Once the period granted to address the prevention indicated in section III of this article has concluded, the Secretary or the Commission, as appropriate, may require the applicant, on a single occasion, to submit documentation or clarifications related to the information submitted.</w:t>
            </w:r>
          </w:p>
        </w:tc>
      </w:tr>
      <w:tr w:rsidR="009849AC" w:rsidRPr="002C0F16" w14:paraId="3CC5077D" w14:textId="15E66F96" w:rsidTr="00F867DE">
        <w:tc>
          <w:tcPr>
            <w:tcW w:w="4711" w:type="dxa"/>
          </w:tcPr>
          <w:p w14:paraId="3B2CB268"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El plazo que se conceda para dar cumplimiento a dicho requerimiento puede ser de hasta diez días hábiles. Durante este tiempo, el plazo para resolver se suspende y se reanuda el día hábil siguiente a aquel en que concluya el término otorgado.</w:t>
            </w:r>
          </w:p>
        </w:tc>
        <w:tc>
          <w:tcPr>
            <w:tcW w:w="4649" w:type="dxa"/>
          </w:tcPr>
          <w:p w14:paraId="44539B0B" w14:textId="3F2A6275" w:rsidR="009849AC" w:rsidRPr="00837D4A" w:rsidRDefault="009849AC" w:rsidP="009849AC">
            <w:pPr>
              <w:pStyle w:val="Texto"/>
              <w:spacing w:line="217"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The deadline for complying with this request may be up to ten business days. During this time, the deadline for making a decision is suspended and resumes on the business day following the expiration of the granted deadline.</w:t>
            </w:r>
          </w:p>
        </w:tc>
      </w:tr>
      <w:tr w:rsidR="009849AC" w:rsidRPr="002C0F16" w14:paraId="0A90F42D" w14:textId="566FCEC2" w:rsidTr="00F867DE">
        <w:tc>
          <w:tcPr>
            <w:tcW w:w="4711" w:type="dxa"/>
          </w:tcPr>
          <w:p w14:paraId="6DBD19BA"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sz w:val="16"/>
                <w:szCs w:val="16"/>
                <w:lang w:val="en-US"/>
              </w:rPr>
              <w:lastRenderedPageBreak/>
              <w:tab/>
            </w:r>
            <w:r w:rsidRPr="00837D4A">
              <w:rPr>
                <w:rFonts w:ascii="Verdana" w:hAnsi="Verdana"/>
                <w:sz w:val="16"/>
                <w:szCs w:val="16"/>
              </w:rPr>
              <w:t>En caso de que la persona solicitante no desahogue el requerimiento en tiempo y forma, la Secretaría o la Comisión, debe resolver conforme a la información que obre en el expediente, y</w:t>
            </w:r>
          </w:p>
        </w:tc>
        <w:tc>
          <w:tcPr>
            <w:tcW w:w="4649" w:type="dxa"/>
          </w:tcPr>
          <w:p w14:paraId="1A5BD98C" w14:textId="0D88438A" w:rsidR="009849AC" w:rsidRPr="00837D4A" w:rsidRDefault="009849AC" w:rsidP="009849AC">
            <w:pPr>
              <w:pStyle w:val="Texto"/>
              <w:spacing w:line="217"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In the event that the applicant does not address the request in a timely manner, the Secretary or the Commission must resolve in accordance with the information in the file, and</w:t>
            </w:r>
          </w:p>
        </w:tc>
      </w:tr>
      <w:tr w:rsidR="009849AC" w:rsidRPr="002C0F16" w14:paraId="31E47B15" w14:textId="50B58702" w:rsidTr="00F867DE">
        <w:tc>
          <w:tcPr>
            <w:tcW w:w="4711" w:type="dxa"/>
          </w:tcPr>
          <w:p w14:paraId="75F422B5"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Transcurrido el plazo referido para la prevención, o en su caso, el plazo para presentar documentación o aclaraciones, la Secretaría o la Comisión, según corresponda, debe resolver sobre la solicitud de que se trate, tomando en cuenta la planeación vinculante y la demás Normatividad aplicable.</w:t>
            </w:r>
          </w:p>
        </w:tc>
        <w:tc>
          <w:tcPr>
            <w:tcW w:w="4649" w:type="dxa"/>
          </w:tcPr>
          <w:p w14:paraId="5F092593" w14:textId="5F709A4D"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After the aforementioned period for prevention has elapsed, or, where applicable, the period for submitting documentation or clarifications, the Secretary or the Commission, as appropriate, must resolve the request in question, taking into account the binding planning and other applicable legislation.</w:t>
            </w:r>
          </w:p>
        </w:tc>
      </w:tr>
      <w:tr w:rsidR="009849AC" w:rsidRPr="002C0F16" w14:paraId="6D332356" w14:textId="7CF36E09" w:rsidTr="00F867DE">
        <w:tc>
          <w:tcPr>
            <w:tcW w:w="4711" w:type="dxa"/>
          </w:tcPr>
          <w:p w14:paraId="25529BE3"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sz w:val="16"/>
                <w:szCs w:val="16"/>
              </w:rPr>
              <w:t>En</w:t>
            </w:r>
            <w:r w:rsidRPr="00837D4A">
              <w:rPr>
                <w:rFonts w:ascii="Verdana" w:hAnsi="Verdana"/>
                <w:b/>
                <w:sz w:val="16"/>
                <w:szCs w:val="16"/>
              </w:rPr>
              <w:t xml:space="preserve"> </w:t>
            </w:r>
            <w:r w:rsidRPr="00837D4A">
              <w:rPr>
                <w:rFonts w:ascii="Verdana" w:hAnsi="Verdana"/>
                <w:sz w:val="16"/>
                <w:szCs w:val="16"/>
              </w:rPr>
              <w:t>cualquier momento del procedimiento de evaluación, la Secretaría o la Comisión pueden realizar investigaciones, recabar información de otras fuentes, consultar a cualquier autoridad de los tres órdenes de gobierno, celebrar comparecencias y realizar, en general, cualquier acción que se considere necesaria para mejor proveer en la resolución de la solicitud, con información relacionada con la actividad regulada por la Secretaría y la Comisión en el ámbito de su competencia.</w:t>
            </w:r>
          </w:p>
        </w:tc>
        <w:tc>
          <w:tcPr>
            <w:tcW w:w="4649" w:type="dxa"/>
          </w:tcPr>
          <w:p w14:paraId="21D15638" w14:textId="09F4BBD2" w:rsidR="009849AC" w:rsidRPr="00837D4A" w:rsidRDefault="009849AC" w:rsidP="009849AC">
            <w:pPr>
              <w:pStyle w:val="Texto"/>
              <w:spacing w:line="217" w:lineRule="exact"/>
              <w:ind w:firstLine="0"/>
              <w:rPr>
                <w:rFonts w:ascii="Verdana" w:hAnsi="Verdana"/>
                <w:sz w:val="16"/>
                <w:szCs w:val="16"/>
                <w:lang w:val="en-US"/>
              </w:rPr>
            </w:pPr>
            <w:r w:rsidRPr="00837D4A">
              <w:rPr>
                <w:rFonts w:ascii="Verdana" w:hAnsi="Verdana"/>
                <w:sz w:val="16"/>
                <w:szCs w:val="16"/>
                <w:lang w:val="en-US"/>
              </w:rPr>
              <w:t>At any time during the evaluation process, the Secretary or the Commission may conduct investigations, gather information from other sources, consult with any authority at all three levels of government, hold hearings, and generally take any action deemed necessary to better provide for the resolution of the request, with information related to the activity regulated by the Secretary and the Commission within their scope of authority.</w:t>
            </w:r>
          </w:p>
        </w:tc>
      </w:tr>
      <w:tr w:rsidR="009849AC" w:rsidRPr="002C0F16" w14:paraId="6412B1BB" w14:textId="76E55B10" w:rsidTr="00F867DE">
        <w:tc>
          <w:tcPr>
            <w:tcW w:w="4711" w:type="dxa"/>
          </w:tcPr>
          <w:p w14:paraId="5DDF8C35"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b/>
                <w:sz w:val="16"/>
                <w:szCs w:val="16"/>
              </w:rPr>
              <w:t xml:space="preserve">Artículo 144. </w:t>
            </w:r>
            <w:r w:rsidRPr="00837D4A">
              <w:rPr>
                <w:rFonts w:ascii="Verdana" w:hAnsi="Verdana"/>
                <w:sz w:val="16"/>
                <w:szCs w:val="16"/>
              </w:rPr>
              <w:t>Para que sea otorgado un permiso por parte de la Secretaría para la importación o exportación de Hidrocarburos, Petrolíferos y Petroquímicos, la persona solicitante, debe cumplir con lo establecido en el acuerdo que regule dichas actividades, emitido conjuntamente por la Secretaría y la Secretaría de Economía, con base en lo siguiente:</w:t>
            </w:r>
          </w:p>
        </w:tc>
        <w:tc>
          <w:tcPr>
            <w:tcW w:w="4649" w:type="dxa"/>
          </w:tcPr>
          <w:p w14:paraId="57E361E8" w14:textId="2D9286D1"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Article 144. </w:t>
            </w:r>
            <w:r w:rsidRPr="00837D4A">
              <w:rPr>
                <w:rFonts w:ascii="Verdana" w:hAnsi="Verdana"/>
                <w:sz w:val="16"/>
                <w:szCs w:val="16"/>
                <w:lang w:val="en-US"/>
              </w:rPr>
              <w:t>In order for the Secretary to grant a permit for the import or export of hydrocarbons, petroleum products and petrochemicals, the applicant must comply with the provisions of the agreement that regulates said activities, issued jointly by the Secretary and the Secretary of Economy, based on the following:</w:t>
            </w:r>
          </w:p>
        </w:tc>
      </w:tr>
      <w:tr w:rsidR="009849AC" w:rsidRPr="002C0F16" w14:paraId="7BCD3330" w14:textId="492FED1A" w:rsidTr="00F867DE">
        <w:tc>
          <w:tcPr>
            <w:tcW w:w="4711" w:type="dxa"/>
          </w:tcPr>
          <w:p w14:paraId="3C394307"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Secretaría debe pronunciarse sobre la admisión a trámite de la solicitud dentro de los cinco días hábiles siguientes a su recepción.</w:t>
            </w:r>
          </w:p>
        </w:tc>
        <w:tc>
          <w:tcPr>
            <w:tcW w:w="4649" w:type="dxa"/>
          </w:tcPr>
          <w:p w14:paraId="4EA7E6E5" w14:textId="7477A991"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Secretary must decide on the admission of the application for processing within five business days of its receipt.</w:t>
            </w:r>
          </w:p>
        </w:tc>
      </w:tr>
      <w:tr w:rsidR="009849AC" w:rsidRPr="002C0F16" w14:paraId="3100D7D7" w14:textId="1A51C0FA" w:rsidTr="00F867DE">
        <w:tc>
          <w:tcPr>
            <w:tcW w:w="4711" w:type="dxa"/>
          </w:tcPr>
          <w:p w14:paraId="0A31BBDE"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Si durante el plazo referido se identifica que la solicitud resulta incompleta o irregular, se debe realizar una prevención para que sea subsanada por la persona solicitante en un plazo no mayor a los diez días hábiles contados a partir de su notificación; transcurrido el plazo fijado sin que se desahogue la prevención en tiempo y forma, se debe desechar el trámite, y</w:t>
            </w:r>
          </w:p>
        </w:tc>
        <w:tc>
          <w:tcPr>
            <w:tcW w:w="4649" w:type="dxa"/>
          </w:tcPr>
          <w:p w14:paraId="4D64EBDE" w14:textId="144B9907" w:rsidR="009849AC" w:rsidRPr="00837D4A" w:rsidRDefault="009849AC" w:rsidP="009849AC">
            <w:pPr>
              <w:pStyle w:val="Texto"/>
              <w:spacing w:line="217"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If during the aforementioned period it is identified that the application is incomplete or irregular, a warning must be issued so that it can be corrected by the applicant within a period of no more than ten business days from the date of notification; if the deadline has elapsed without the warning being addressed in a timely manner, the procedure must be rejected, and</w:t>
            </w:r>
          </w:p>
        </w:tc>
      </w:tr>
      <w:tr w:rsidR="009849AC" w:rsidRPr="002C0F16" w14:paraId="2AF0434E" w14:textId="33B99491" w:rsidTr="00F867DE">
        <w:tc>
          <w:tcPr>
            <w:tcW w:w="4711" w:type="dxa"/>
          </w:tcPr>
          <w:p w14:paraId="086522AF"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En caso de que la persona interesada haya atendido la prevención dentro del plazo establecido para ello, la Secretaría cuenta con un plazo de cinco días hábiles para revisar que la solicitud contenga los requisitos señalados en la Ley, este reglamento y demás Normatividad que se emita, en cuyo caso, la solicitud debe ser admitida a trámite, de lo contrario se debe desechar. Una vez admitida la solicitud, la Secretaría cuenta con un plazo de doce días hábiles para resolver lo que en derecho proceda, para lo cual debe tomar en consideración lo previsto en la Ley, este reglamento, la planeación vinculante y demás Normatividad aplicable.</w:t>
            </w:r>
          </w:p>
        </w:tc>
        <w:tc>
          <w:tcPr>
            <w:tcW w:w="4649" w:type="dxa"/>
          </w:tcPr>
          <w:p w14:paraId="71854E3F" w14:textId="37F1B4DE"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If the interested party has responded to the request within the established timeframe, the Secretary has five business days to review that the request meets the requirements specified in the Law, this Regulation, and other applicable legislation. In this case, the request must be admitted for processing; otherwise, it must be rejected. Once the request has been admitted, the Secretary has twelve business days to make the legally appropriate decision, taking into consideration the provisions of the Law, this Regulation, the binding planning, and other applicable legislation.</w:t>
            </w:r>
          </w:p>
        </w:tc>
      </w:tr>
      <w:tr w:rsidR="009849AC" w:rsidRPr="002C0F16" w14:paraId="2AE3408D" w14:textId="2217C358" w:rsidTr="00F867DE">
        <w:tc>
          <w:tcPr>
            <w:tcW w:w="4711" w:type="dxa"/>
          </w:tcPr>
          <w:p w14:paraId="5E52D5DC"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b/>
                <w:sz w:val="16"/>
                <w:szCs w:val="16"/>
              </w:rPr>
              <w:t xml:space="preserve">Artículo 145. </w:t>
            </w:r>
            <w:r w:rsidRPr="00837D4A">
              <w:rPr>
                <w:rFonts w:ascii="Verdana" w:hAnsi="Verdana"/>
                <w:sz w:val="16"/>
                <w:szCs w:val="16"/>
              </w:rPr>
              <w:t xml:space="preserve">Cuando la persona solicitante presente información adicional que tenga por objeto modificar la solicitud de permiso o la solicitud de modificación de este y que implique un nuevo proceso de evaluación por parte de la Secretaría o la Comisión, según sea el caso, </w:t>
            </w:r>
            <w:r w:rsidRPr="00837D4A">
              <w:rPr>
                <w:rFonts w:ascii="Verdana" w:hAnsi="Verdana"/>
                <w:sz w:val="16"/>
                <w:szCs w:val="16"/>
              </w:rPr>
              <w:lastRenderedPageBreak/>
              <w:t>se debe desechar la solicitud original. Lo anterior, sin perjuicio de que la persona solicitante presente una nueva solicitud, previo pago de los derechos o aprovechamientos que correspondan.</w:t>
            </w:r>
          </w:p>
        </w:tc>
        <w:tc>
          <w:tcPr>
            <w:tcW w:w="4649" w:type="dxa"/>
          </w:tcPr>
          <w:p w14:paraId="04ADD593" w14:textId="7601EF39"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145. </w:t>
            </w:r>
            <w:r w:rsidRPr="00837D4A">
              <w:rPr>
                <w:rFonts w:ascii="Verdana" w:hAnsi="Verdana"/>
                <w:sz w:val="16"/>
                <w:szCs w:val="16"/>
                <w:lang w:val="en-US"/>
              </w:rPr>
              <w:t xml:space="preserve">When the applicant submits additional information intended to modify the permit application or the application for modification thereof and which requires a new evaluation process by the Secretary or the Commission, as the case may be, the original </w:t>
            </w:r>
            <w:r w:rsidRPr="00837D4A">
              <w:rPr>
                <w:rFonts w:ascii="Verdana" w:hAnsi="Verdana"/>
                <w:sz w:val="16"/>
                <w:szCs w:val="16"/>
                <w:lang w:val="en-US"/>
              </w:rPr>
              <w:lastRenderedPageBreak/>
              <w:t>application must be rejected. This is without prejudice to the applicant submitting a new application, upon payment of the corresponding fees or benefits.</w:t>
            </w:r>
          </w:p>
        </w:tc>
      </w:tr>
      <w:tr w:rsidR="009849AC" w:rsidRPr="002C0F16" w14:paraId="2FCA7ADD" w14:textId="1BE70A46" w:rsidTr="00F867DE">
        <w:tc>
          <w:tcPr>
            <w:tcW w:w="4711" w:type="dxa"/>
          </w:tcPr>
          <w:p w14:paraId="6B301CB7"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lastRenderedPageBreak/>
              <w:t xml:space="preserve">Artículo 146. </w:t>
            </w:r>
            <w:r w:rsidRPr="00837D4A">
              <w:rPr>
                <w:rFonts w:ascii="Verdana" w:hAnsi="Verdana"/>
                <w:sz w:val="16"/>
                <w:szCs w:val="16"/>
              </w:rPr>
              <w:t>Una vez efectuada la evaluación completa de la solicitud, la Secretaría o la Comisión deben otorgar o negar el permiso. En caso de no emitirse una resolución por parte de la Secretaría o la Comisión dentro del plazo establecido para ello, debe entenderse resuelto en sentido negativo.</w:t>
            </w:r>
          </w:p>
        </w:tc>
        <w:tc>
          <w:tcPr>
            <w:tcW w:w="4649" w:type="dxa"/>
          </w:tcPr>
          <w:p w14:paraId="0981D6CE" w14:textId="7D6C556D"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146. </w:t>
            </w:r>
            <w:r w:rsidRPr="00837D4A">
              <w:rPr>
                <w:rFonts w:ascii="Verdana" w:hAnsi="Verdana"/>
                <w:sz w:val="16"/>
                <w:szCs w:val="16"/>
                <w:lang w:val="en-US"/>
              </w:rPr>
              <w:t>Once the application has been fully evaluated, the Secretary or the Commission must grant or deny the permit. If the Secretary or the Commission does not issue a resolution within the established deadline, the decision shall be deemed negative.</w:t>
            </w:r>
          </w:p>
        </w:tc>
      </w:tr>
      <w:tr w:rsidR="009849AC" w:rsidRPr="002C0F16" w14:paraId="52BAE0A9" w14:textId="551A593A" w:rsidTr="00F867DE">
        <w:tc>
          <w:tcPr>
            <w:tcW w:w="4711" w:type="dxa"/>
          </w:tcPr>
          <w:p w14:paraId="05D836CC"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En caso de que el permiso sea negado, quedan a salvo los derechos de la persona solicitante para presentar otras solicitudes, para lo cual debe acreditar un nuevo pago de derechos o aprovechamientos, según corresponda.</w:t>
            </w:r>
          </w:p>
        </w:tc>
        <w:tc>
          <w:tcPr>
            <w:tcW w:w="4649" w:type="dxa"/>
          </w:tcPr>
          <w:p w14:paraId="6EDDEF58" w14:textId="0B901196"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In the event that the permit is denied, the applicant's right to submit further applications remains intact, for which they must provide proof of new payment of fees or benefits, as applicable.</w:t>
            </w:r>
          </w:p>
        </w:tc>
      </w:tr>
      <w:tr w:rsidR="009849AC" w:rsidRPr="002C0F16" w14:paraId="32C6D9EA" w14:textId="5333E4AD" w:rsidTr="00F867DE">
        <w:tc>
          <w:tcPr>
            <w:tcW w:w="4711" w:type="dxa"/>
          </w:tcPr>
          <w:p w14:paraId="6649A835"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En ningún caso la persona Permisionaria debe iniciar la construcción, desarrollo o ejecución de la infraestructura asociada al permiso, hasta en tanto se cuente con las autorizaciones definitivas en materia de Manifestación de Impacto Social del Sector Energético y Manifestación de Impacto Ambiental.</w:t>
            </w:r>
          </w:p>
        </w:tc>
        <w:tc>
          <w:tcPr>
            <w:tcW w:w="4649" w:type="dxa"/>
          </w:tcPr>
          <w:p w14:paraId="08D8954C" w14:textId="30FF61CA"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Under no circumstances should the Permit Holder begin construction, development, or execution of the infrastructure associated with the permit until the final authorizations for the Energy Sector Social Impact Statement and Environmental Impact Statement are obtained.</w:t>
            </w:r>
          </w:p>
        </w:tc>
      </w:tr>
      <w:tr w:rsidR="009849AC" w:rsidRPr="002C0F16" w14:paraId="27B8A6C5" w14:textId="77E42CEB" w:rsidTr="00F867DE">
        <w:tc>
          <w:tcPr>
            <w:tcW w:w="4711" w:type="dxa"/>
          </w:tcPr>
          <w:p w14:paraId="11A2A5A0"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 realización de obras, adquisición de infraestructura y demás acciones que se lleven a cabo de manera previa al otorgamiento de un permiso, no otorgan preferencia, prioridad o derecho alguno para que la Secretaría o la Comisión otorguen el permiso respectivo.</w:t>
            </w:r>
          </w:p>
        </w:tc>
        <w:tc>
          <w:tcPr>
            <w:tcW w:w="4649" w:type="dxa"/>
          </w:tcPr>
          <w:p w14:paraId="079C28F0" w14:textId="2F8904EA"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execution of works, acquisition of infrastructure, and other actions carried out prior to the granting of a permit do not grant the Secretary or the Commission any preference, priority, or right to grant the respective permit.</w:t>
            </w:r>
          </w:p>
        </w:tc>
      </w:tr>
      <w:tr w:rsidR="009849AC" w:rsidRPr="00D0180E" w14:paraId="1DC1DBDF" w14:textId="0CDB3284" w:rsidTr="00F867DE">
        <w:tc>
          <w:tcPr>
            <w:tcW w:w="4711" w:type="dxa"/>
          </w:tcPr>
          <w:p w14:paraId="71E29D85"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Capítulo IV</w:t>
            </w:r>
          </w:p>
        </w:tc>
        <w:tc>
          <w:tcPr>
            <w:tcW w:w="4649" w:type="dxa"/>
          </w:tcPr>
          <w:p w14:paraId="502DB5B0" w14:textId="3E8BB5A5"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Chapter IV</w:t>
            </w:r>
          </w:p>
        </w:tc>
      </w:tr>
      <w:tr w:rsidR="009849AC" w:rsidRPr="002C0F16" w14:paraId="389F3363" w14:textId="04A00293" w:rsidTr="00F867DE">
        <w:tc>
          <w:tcPr>
            <w:tcW w:w="4711" w:type="dxa"/>
          </w:tcPr>
          <w:p w14:paraId="311CCADC"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De las Modificaciones y Actualizaciones a los Permisos</w:t>
            </w:r>
          </w:p>
        </w:tc>
        <w:tc>
          <w:tcPr>
            <w:tcW w:w="4649" w:type="dxa"/>
          </w:tcPr>
          <w:p w14:paraId="098F6885" w14:textId="1C1B6204"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Modifications and Updates to Permits</w:t>
            </w:r>
          </w:p>
        </w:tc>
      </w:tr>
      <w:tr w:rsidR="009849AC" w:rsidRPr="00D0180E" w14:paraId="1A281687" w14:textId="5DA962BF" w:rsidTr="00F867DE">
        <w:tc>
          <w:tcPr>
            <w:tcW w:w="4711" w:type="dxa"/>
          </w:tcPr>
          <w:p w14:paraId="4E833228"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Sección Primera</w:t>
            </w:r>
          </w:p>
        </w:tc>
        <w:tc>
          <w:tcPr>
            <w:tcW w:w="4649" w:type="dxa"/>
          </w:tcPr>
          <w:p w14:paraId="463E2E93" w14:textId="5493E9BF"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First Section</w:t>
            </w:r>
          </w:p>
        </w:tc>
      </w:tr>
      <w:tr w:rsidR="009849AC" w:rsidRPr="00D0180E" w14:paraId="68DCD10D" w14:textId="5A8D9A89" w:rsidTr="00F867DE">
        <w:tc>
          <w:tcPr>
            <w:tcW w:w="4711" w:type="dxa"/>
          </w:tcPr>
          <w:p w14:paraId="0EF50566"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De las Modificaciones</w:t>
            </w:r>
          </w:p>
        </w:tc>
        <w:tc>
          <w:tcPr>
            <w:tcW w:w="4649" w:type="dxa"/>
          </w:tcPr>
          <w:p w14:paraId="056E7182" w14:textId="2D24A016"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Modifications</w:t>
            </w:r>
          </w:p>
        </w:tc>
      </w:tr>
      <w:tr w:rsidR="009849AC" w:rsidRPr="002C0F16" w14:paraId="6E54C584" w14:textId="790545BD" w:rsidTr="00F867DE">
        <w:tc>
          <w:tcPr>
            <w:tcW w:w="4711" w:type="dxa"/>
          </w:tcPr>
          <w:p w14:paraId="7A4CC5FF"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Artículo 147.</w:t>
            </w:r>
            <w:r w:rsidRPr="00837D4A">
              <w:rPr>
                <w:rFonts w:ascii="Verdana" w:hAnsi="Verdana"/>
                <w:sz w:val="16"/>
                <w:szCs w:val="16"/>
              </w:rPr>
              <w:t xml:space="preserve"> Las modificaciones a solicitud de parte, deben realizarse previo pago de los derechos o aprovechamientos correspondientes y se sujeta, en lo conducente, al procedimiento previsto en los artículos 143 o 144 de este reglamento, según corresponda.</w:t>
            </w:r>
          </w:p>
        </w:tc>
        <w:tc>
          <w:tcPr>
            <w:tcW w:w="4649" w:type="dxa"/>
          </w:tcPr>
          <w:p w14:paraId="5A5168BB" w14:textId="11E4B886"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147. </w:t>
            </w:r>
            <w:r w:rsidRPr="00837D4A">
              <w:rPr>
                <w:rFonts w:ascii="Verdana" w:hAnsi="Verdana"/>
                <w:sz w:val="16"/>
                <w:szCs w:val="16"/>
                <w:lang w:val="en-US"/>
              </w:rPr>
              <w:t>Modifications at the request of a party must be made upon payment of the corresponding rights or benefits and are subject, where applicable, to the procedure provided for in Articles 143 or 144 of this regulation, as appropriate.</w:t>
            </w:r>
          </w:p>
        </w:tc>
      </w:tr>
      <w:tr w:rsidR="009849AC" w:rsidRPr="002C0F16" w14:paraId="7FD15D25" w14:textId="002BBE8E" w:rsidTr="00F867DE">
        <w:tc>
          <w:tcPr>
            <w:tcW w:w="4711" w:type="dxa"/>
          </w:tcPr>
          <w:p w14:paraId="452A38C9"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 modificación que se solicite se entiende realizada y surte efecto una vez que sea autorizada y notificada por la Secretaría o la Comisión.</w:t>
            </w:r>
          </w:p>
        </w:tc>
        <w:tc>
          <w:tcPr>
            <w:tcW w:w="4649" w:type="dxa"/>
          </w:tcPr>
          <w:p w14:paraId="293A014A" w14:textId="0AD74AAD"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requested modification is deemed to have been made and will take effect once it has been authorized and notified by the Secretary or the Commission.</w:t>
            </w:r>
          </w:p>
        </w:tc>
      </w:tr>
      <w:tr w:rsidR="009849AC" w:rsidRPr="002C0F16" w14:paraId="7F1F4BD3" w14:textId="31503419" w:rsidTr="00F867DE">
        <w:tc>
          <w:tcPr>
            <w:tcW w:w="4711" w:type="dxa"/>
          </w:tcPr>
          <w:p w14:paraId="1DEF4463"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Artículo 148.</w:t>
            </w:r>
            <w:r w:rsidRPr="00837D4A">
              <w:rPr>
                <w:rFonts w:ascii="Verdana" w:hAnsi="Verdana"/>
                <w:sz w:val="16"/>
                <w:szCs w:val="16"/>
              </w:rPr>
              <w:t xml:space="preserve"> Los permisos otorgados por la Secretaría o la Comisión pueden modificarse de oficio cuando los términos y condiciones originalmente aprobados para la prestación del servicio ya no correspondan a las necesidades del servicio o afecten la seguridad, eficiencia, homogeneidad, regularidad, calidad y continuidad de este o con la finalidad de garantizar la soberanía, autosuficiencia y justicia energética de la Nación o para promover el desarrollo ordenado, continuo y seguro de las actividades del sector energético, de conformidad con la planeación vinculante.</w:t>
            </w:r>
          </w:p>
        </w:tc>
        <w:tc>
          <w:tcPr>
            <w:tcW w:w="4649" w:type="dxa"/>
          </w:tcPr>
          <w:p w14:paraId="6CEB7E7E" w14:textId="607DC573"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148. </w:t>
            </w:r>
            <w:r w:rsidRPr="00837D4A">
              <w:rPr>
                <w:rFonts w:ascii="Verdana" w:hAnsi="Verdana"/>
                <w:sz w:val="16"/>
                <w:szCs w:val="16"/>
                <w:lang w:val="en-US"/>
              </w:rPr>
              <w:t>Permits granted by the Secretary or the Commission may be modified ex officio when the terms and conditions originally approved for the provision of the service no longer correspond to the needs of the service or affect the safety, efficiency, homogeneity, regularity, quality and continuity of the service, or in order to guarantee the sovereignty, self-sufficiency and energy justice of the Nation, or to promote the orderly, continuous and safe development of the activities of the energy sector, in accordance with binding planning.</w:t>
            </w:r>
          </w:p>
        </w:tc>
      </w:tr>
      <w:tr w:rsidR="009849AC" w:rsidRPr="002C0F16" w14:paraId="76D6A2C0" w14:textId="216098B1" w:rsidTr="00F867DE">
        <w:tc>
          <w:tcPr>
            <w:tcW w:w="4711" w:type="dxa"/>
          </w:tcPr>
          <w:p w14:paraId="6EACD0E4"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lastRenderedPageBreak/>
              <w:t>Las modificaciones de oficio a que se refiere el párrafo anterior se deben realizar de acuerdo con el siguiente procedimiento:</w:t>
            </w:r>
          </w:p>
        </w:tc>
        <w:tc>
          <w:tcPr>
            <w:tcW w:w="4649" w:type="dxa"/>
          </w:tcPr>
          <w:p w14:paraId="11CE8DF4" w14:textId="57351C88"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official modifications referred to in the preceding paragraph must be made in accordance with the following procedure:</w:t>
            </w:r>
          </w:p>
        </w:tc>
      </w:tr>
      <w:tr w:rsidR="009849AC" w:rsidRPr="002C0F16" w14:paraId="4E5F2986" w14:textId="3C288057" w:rsidTr="00F867DE">
        <w:tc>
          <w:tcPr>
            <w:tcW w:w="4711" w:type="dxa"/>
          </w:tcPr>
          <w:p w14:paraId="232E9D8F"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Se</w:t>
            </w:r>
            <w:r w:rsidRPr="00837D4A">
              <w:rPr>
                <w:rFonts w:ascii="Verdana" w:hAnsi="Verdana"/>
                <w:b/>
                <w:sz w:val="16"/>
                <w:szCs w:val="16"/>
              </w:rPr>
              <w:t xml:space="preserve"> </w:t>
            </w:r>
            <w:r w:rsidRPr="00837D4A">
              <w:rPr>
                <w:rFonts w:ascii="Verdana" w:hAnsi="Verdana"/>
                <w:sz w:val="16"/>
                <w:szCs w:val="16"/>
              </w:rPr>
              <w:t>debe notificar a la persona Permisionaria las modificaciones propuestas por la Secretaría o la Comisión, según corresponda, las cuales deben estar debidamente fundadas y motivadas y se debe otorgar un plazo de treinta días hábiles a la persona Permisionaria para que esta manifieste lo que a su derecho convenga.</w:t>
            </w:r>
          </w:p>
        </w:tc>
        <w:tc>
          <w:tcPr>
            <w:tcW w:w="4649" w:type="dxa"/>
          </w:tcPr>
          <w:p w14:paraId="78D05402" w14:textId="6358AECB"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t>T</w:t>
            </w:r>
            <w:r w:rsidRPr="00837D4A">
              <w:rPr>
                <w:rFonts w:ascii="Verdana" w:hAnsi="Verdana"/>
                <w:sz w:val="16"/>
                <w:szCs w:val="16"/>
                <w:lang w:val="en-US"/>
              </w:rPr>
              <w:t>he Permit Holder must be notified of any modifications proposed by the Secretary or the Commission, as appropriate, which must be duly substantiated and motivated, and the Permit Holder must be granted a period of thirty working days to state what is appropriate for his or her rights.</w:t>
            </w:r>
          </w:p>
        </w:tc>
      </w:tr>
      <w:tr w:rsidR="009849AC" w:rsidRPr="002C0F16" w14:paraId="3DE55EC5" w14:textId="6B33B8BA" w:rsidTr="00F867DE">
        <w:tc>
          <w:tcPr>
            <w:tcW w:w="4711" w:type="dxa"/>
          </w:tcPr>
          <w:p w14:paraId="33C8EAD3"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Transcurrido el plazo a que se refiere el párrafo anterior sin que la persona Permisionaria exponga lo que a su derecho convenga, se debe entender por consentidas las modificaciones propuestas por la Secretaría o la Comisión;</w:t>
            </w:r>
          </w:p>
        </w:tc>
        <w:tc>
          <w:tcPr>
            <w:tcW w:w="4649" w:type="dxa"/>
          </w:tcPr>
          <w:p w14:paraId="3A4295E8" w14:textId="366E5EC5"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Once the period referred to in the preceding paragraph has elapsed without the Permit Holder stating what is appropriate to his or her rights, the modifications proposed by the Secretary or the Commission must be understood as consented to;</w:t>
            </w:r>
          </w:p>
        </w:tc>
      </w:tr>
      <w:tr w:rsidR="009849AC" w:rsidRPr="002C0F16" w14:paraId="52ADB442" w14:textId="277DB322" w:rsidTr="00F867DE">
        <w:tc>
          <w:tcPr>
            <w:tcW w:w="4711" w:type="dxa"/>
          </w:tcPr>
          <w:p w14:paraId="2371754C"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Una</w:t>
            </w:r>
            <w:r w:rsidRPr="00837D4A">
              <w:rPr>
                <w:rFonts w:ascii="Verdana" w:hAnsi="Verdana"/>
                <w:b/>
                <w:sz w:val="16"/>
                <w:szCs w:val="16"/>
              </w:rPr>
              <w:t xml:space="preserve"> </w:t>
            </w:r>
            <w:r w:rsidRPr="00837D4A">
              <w:rPr>
                <w:rFonts w:ascii="Verdana" w:hAnsi="Verdana"/>
                <w:sz w:val="16"/>
                <w:szCs w:val="16"/>
              </w:rPr>
              <w:t>vez cumplido el plazo a que se refiere el primer párrafo de la fracción anterior, la Secretaría o la Comisión deben proceder, dentro de los quince días hábiles siguientes, a resolver lo conducente.</w:t>
            </w:r>
          </w:p>
        </w:tc>
        <w:tc>
          <w:tcPr>
            <w:tcW w:w="4649" w:type="dxa"/>
          </w:tcPr>
          <w:p w14:paraId="1C4DEEA1" w14:textId="14244C01"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Once the deadline referred to in the first paragraph of the preceding section has elapsed, the Secretary or the Commission must proceed, within the following fifteen working days, to resolve the relevant matter.</w:t>
            </w:r>
          </w:p>
        </w:tc>
      </w:tr>
      <w:tr w:rsidR="009849AC" w:rsidRPr="002C0F16" w14:paraId="473EBB09" w14:textId="74C850B4" w:rsidTr="00F867DE">
        <w:tc>
          <w:tcPr>
            <w:tcW w:w="4711" w:type="dxa"/>
          </w:tcPr>
          <w:p w14:paraId="6CE92509"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Para dicha resolución, la Secretaría o la Comisión, en su caso, deben analizar lo expuesto por la persona Permisionaria, y</w:t>
            </w:r>
          </w:p>
        </w:tc>
        <w:tc>
          <w:tcPr>
            <w:tcW w:w="4649" w:type="dxa"/>
          </w:tcPr>
          <w:p w14:paraId="43CD0EC3" w14:textId="212E5EE3"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For such resolution, the Secretary or the Commission, as the case may be, must analyze what was stated by the Permit Holder, and</w:t>
            </w:r>
          </w:p>
        </w:tc>
      </w:tr>
      <w:tr w:rsidR="009849AC" w:rsidRPr="002C0F16" w14:paraId="523D8545" w14:textId="2CBC34F8" w:rsidTr="00F867DE">
        <w:tc>
          <w:tcPr>
            <w:tcW w:w="4711" w:type="dxa"/>
          </w:tcPr>
          <w:p w14:paraId="4C9A3058"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w:t>
            </w:r>
            <w:r w:rsidRPr="00837D4A">
              <w:rPr>
                <w:rFonts w:ascii="Verdana" w:hAnsi="Verdana"/>
                <w:b/>
                <w:sz w:val="16"/>
                <w:szCs w:val="16"/>
              </w:rPr>
              <w:t xml:space="preserve"> </w:t>
            </w:r>
            <w:r w:rsidRPr="00837D4A">
              <w:rPr>
                <w:rFonts w:ascii="Verdana" w:hAnsi="Verdana"/>
                <w:sz w:val="16"/>
                <w:szCs w:val="16"/>
              </w:rPr>
              <w:t>Secretaría o la Comisión deben hacer del conocimiento de la persona Permisionaria la resolución a través de los medios autorizados para ello.</w:t>
            </w:r>
          </w:p>
        </w:tc>
        <w:tc>
          <w:tcPr>
            <w:tcW w:w="4649" w:type="dxa"/>
          </w:tcPr>
          <w:p w14:paraId="4B48D7AC" w14:textId="4F8478D6"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Secretary or the Commission must inform the Permit Holder of the resolution through the authorized means.</w:t>
            </w:r>
          </w:p>
        </w:tc>
      </w:tr>
      <w:tr w:rsidR="009849AC" w:rsidRPr="002C0F16" w14:paraId="1F8D4CAD" w14:textId="4486C98F" w:rsidTr="00F867DE">
        <w:tc>
          <w:tcPr>
            <w:tcW w:w="4711" w:type="dxa"/>
          </w:tcPr>
          <w:p w14:paraId="1D2E9816"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Las modificaciones a que se refiere este artículo no requieren el pago de derechos o aprovechamientos.</w:t>
            </w:r>
          </w:p>
        </w:tc>
        <w:tc>
          <w:tcPr>
            <w:tcW w:w="4649" w:type="dxa"/>
          </w:tcPr>
          <w:p w14:paraId="01EF5842" w14:textId="17CB5F6B"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modifications referred to in this article do not require the payment of fees or benefits.</w:t>
            </w:r>
          </w:p>
        </w:tc>
      </w:tr>
      <w:tr w:rsidR="009849AC" w:rsidRPr="002C0F16" w14:paraId="0007C128" w14:textId="56197F44" w:rsidTr="00F867DE">
        <w:tc>
          <w:tcPr>
            <w:tcW w:w="4711" w:type="dxa"/>
          </w:tcPr>
          <w:p w14:paraId="0AC343AC"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En la evaluación para la modificación de un permiso, la Secretaría o la Comisión deben tomar en cuenta la planeación vinculante y, adicionalmente, pueden analizar la operación y las condiciones técnicas del Sistema, como son capacidad, medios de recepción y entrega, localización o infraestructura, su impacto sobre el desarrollo eficiente de dichas actividades y las necesidades de infraestructura común en la región que corresponda, y pueden modificar la naturaleza y el alcance del permiso correspondiente, a través de condiciones tales como el Acceso Abierto No Indebidamente Discriminatorio, la interconexión con otros Sistemas permisionados y la regulación tarifaria.</w:t>
            </w:r>
          </w:p>
        </w:tc>
        <w:tc>
          <w:tcPr>
            <w:tcW w:w="4649" w:type="dxa"/>
          </w:tcPr>
          <w:p w14:paraId="2B3442C0" w14:textId="3A3B3123"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In the evaluation for the modification of a permit, the Secretary or the Commission must take into account the binding planning and, additionally, may analyze the operation and technical conditions of the system, such as capacity, means of reception and delivery, location or infrastructure, its impact on the efficient development of said activities and the needs of common infrastructure in the corresponding region, and may modify the nature and scope of the corresponding permit, through conditions such as Non-Unduly Discriminatory Open Access, interconnection with other permitted systems and tariff regulation.</w:t>
            </w:r>
          </w:p>
        </w:tc>
      </w:tr>
      <w:tr w:rsidR="009849AC" w:rsidRPr="00D0180E" w14:paraId="72BDF517" w14:textId="0EF19193" w:rsidTr="00F867DE">
        <w:tc>
          <w:tcPr>
            <w:tcW w:w="4711" w:type="dxa"/>
          </w:tcPr>
          <w:p w14:paraId="4489BA54" w14:textId="77777777" w:rsidR="009849AC" w:rsidRPr="00837D4A" w:rsidRDefault="009849AC" w:rsidP="009849AC">
            <w:pPr>
              <w:pStyle w:val="Texto"/>
              <w:spacing w:line="256" w:lineRule="exact"/>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646A755D" w14:textId="6F093691" w:rsidR="009849AC" w:rsidRPr="00837D4A" w:rsidRDefault="009849AC" w:rsidP="009849AC">
            <w:pPr>
              <w:pStyle w:val="Texto"/>
              <w:spacing w:line="256" w:lineRule="exact"/>
              <w:ind w:firstLine="0"/>
              <w:jc w:val="center"/>
              <w:rPr>
                <w:rFonts w:ascii="Verdana" w:hAnsi="Verdana"/>
                <w:b/>
                <w:sz w:val="16"/>
                <w:szCs w:val="16"/>
                <w:lang w:val="en-US"/>
              </w:rPr>
            </w:pPr>
            <w:proofErr w:type="spellStart"/>
            <w:r w:rsidRPr="00837D4A">
              <w:rPr>
                <w:rFonts w:ascii="Verdana" w:hAnsi="Verdana"/>
                <w:b/>
                <w:sz w:val="16"/>
                <w:szCs w:val="16"/>
              </w:rPr>
              <w:t>Second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C0F16" w14:paraId="01028738" w14:textId="63255D21" w:rsidTr="00F867DE">
        <w:tc>
          <w:tcPr>
            <w:tcW w:w="4711" w:type="dxa"/>
          </w:tcPr>
          <w:p w14:paraId="7C707341" w14:textId="77777777" w:rsidR="009849AC" w:rsidRPr="00837D4A" w:rsidRDefault="009849AC" w:rsidP="009849AC">
            <w:pPr>
              <w:pStyle w:val="Texto"/>
              <w:spacing w:line="256" w:lineRule="exact"/>
              <w:ind w:firstLine="0"/>
              <w:jc w:val="center"/>
              <w:rPr>
                <w:rFonts w:ascii="Verdana" w:hAnsi="Verdana"/>
                <w:b/>
                <w:sz w:val="16"/>
                <w:szCs w:val="16"/>
              </w:rPr>
            </w:pPr>
            <w:r w:rsidRPr="00837D4A">
              <w:rPr>
                <w:rFonts w:ascii="Verdana" w:hAnsi="Verdana"/>
                <w:b/>
                <w:sz w:val="16"/>
                <w:szCs w:val="16"/>
              </w:rPr>
              <w:t>De las Actualizaciones y el Cambio de Control</w:t>
            </w:r>
          </w:p>
        </w:tc>
        <w:tc>
          <w:tcPr>
            <w:tcW w:w="4649" w:type="dxa"/>
          </w:tcPr>
          <w:p w14:paraId="2B72ADDB" w14:textId="0ACB6536" w:rsidR="009849AC" w:rsidRPr="00837D4A" w:rsidRDefault="009849AC" w:rsidP="009849AC">
            <w:pPr>
              <w:pStyle w:val="Texto"/>
              <w:spacing w:line="256" w:lineRule="exact"/>
              <w:ind w:firstLine="0"/>
              <w:jc w:val="center"/>
              <w:rPr>
                <w:rFonts w:ascii="Verdana" w:hAnsi="Verdana"/>
                <w:b/>
                <w:sz w:val="16"/>
                <w:szCs w:val="16"/>
                <w:lang w:val="en-US"/>
              </w:rPr>
            </w:pPr>
            <w:r w:rsidRPr="00837D4A">
              <w:rPr>
                <w:rFonts w:ascii="Verdana" w:hAnsi="Verdana"/>
                <w:b/>
                <w:sz w:val="16"/>
                <w:szCs w:val="16"/>
                <w:lang w:val="en-US"/>
              </w:rPr>
              <w:t>Updates and Change of Control</w:t>
            </w:r>
          </w:p>
        </w:tc>
      </w:tr>
      <w:tr w:rsidR="009849AC" w:rsidRPr="002C0F16" w14:paraId="729C3E57" w14:textId="69846F7E" w:rsidTr="00F867DE">
        <w:tc>
          <w:tcPr>
            <w:tcW w:w="4711" w:type="dxa"/>
          </w:tcPr>
          <w:p w14:paraId="590A1388"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 xml:space="preserve">Artículo 149. </w:t>
            </w:r>
            <w:r w:rsidRPr="00837D4A">
              <w:rPr>
                <w:rFonts w:ascii="Verdana" w:hAnsi="Verdana"/>
                <w:sz w:val="16"/>
                <w:szCs w:val="16"/>
              </w:rPr>
              <w:t>Las actualizaciones de los permisos otorgados por la Secretaría o la Comisión deben solicitarse conforme a la Normatividad que para tal efecto se emita.</w:t>
            </w:r>
          </w:p>
        </w:tc>
        <w:tc>
          <w:tcPr>
            <w:tcW w:w="4649" w:type="dxa"/>
          </w:tcPr>
          <w:p w14:paraId="18B612D0" w14:textId="11280505"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Article 149. </w:t>
            </w:r>
            <w:r w:rsidRPr="00837D4A">
              <w:rPr>
                <w:rFonts w:ascii="Verdana" w:hAnsi="Verdana"/>
                <w:sz w:val="16"/>
                <w:szCs w:val="16"/>
                <w:lang w:val="en-US"/>
              </w:rPr>
              <w:t>Updates to permits granted by the Secretary or the Commission must be requested in accordance with the Regulation issued for such purposes.</w:t>
            </w:r>
          </w:p>
        </w:tc>
      </w:tr>
      <w:tr w:rsidR="009849AC" w:rsidRPr="002C0F16" w14:paraId="6A91DCB3" w14:textId="1BFC6778" w:rsidTr="00F867DE">
        <w:tc>
          <w:tcPr>
            <w:tcW w:w="4711" w:type="dxa"/>
          </w:tcPr>
          <w:p w14:paraId="6F109786"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sz w:val="16"/>
                <w:szCs w:val="16"/>
              </w:rPr>
              <w:t xml:space="preserve">Para efectos del artículo 86, cuarto párrafo de la Ley, y debido a que el cambio de control de la estructura accionaria modifica las condiciones iniciales mediante las cuales el permiso fue otorgado, requieren la </w:t>
            </w:r>
            <w:r w:rsidRPr="00837D4A">
              <w:rPr>
                <w:rFonts w:ascii="Verdana" w:hAnsi="Verdana"/>
                <w:sz w:val="16"/>
                <w:szCs w:val="16"/>
              </w:rPr>
              <w:lastRenderedPageBreak/>
              <w:t>evaluación y aprobación de la Secretaría o la Comisión, para su autorización debe seguirse el procedimiento señalado en los artículos 143 o 144 de este reglamento, según corresponda, previo pago de derechos o aprovechamientos.</w:t>
            </w:r>
          </w:p>
        </w:tc>
        <w:tc>
          <w:tcPr>
            <w:tcW w:w="4649" w:type="dxa"/>
          </w:tcPr>
          <w:p w14:paraId="3D1A1905" w14:textId="2E0FB893" w:rsidR="009849AC" w:rsidRPr="00837D4A" w:rsidRDefault="009849AC" w:rsidP="009849AC">
            <w:pPr>
              <w:pStyle w:val="Texto"/>
              <w:spacing w:line="256" w:lineRule="exact"/>
              <w:ind w:firstLine="0"/>
              <w:rPr>
                <w:rFonts w:ascii="Verdana" w:hAnsi="Verdana"/>
                <w:sz w:val="16"/>
                <w:szCs w:val="16"/>
                <w:lang w:val="en-US"/>
              </w:rPr>
            </w:pPr>
            <w:r w:rsidRPr="00837D4A">
              <w:rPr>
                <w:rFonts w:ascii="Verdana" w:hAnsi="Verdana"/>
                <w:sz w:val="16"/>
                <w:szCs w:val="16"/>
                <w:lang w:val="en-US"/>
              </w:rPr>
              <w:lastRenderedPageBreak/>
              <w:t xml:space="preserve">For the purposes of Article 86, fourth paragraph of the Law, and because the change of control of the shareholding structure modifies the initial conditions under which the permit was granted, it requires the </w:t>
            </w:r>
            <w:r w:rsidRPr="00837D4A">
              <w:rPr>
                <w:rFonts w:ascii="Verdana" w:hAnsi="Verdana"/>
                <w:sz w:val="16"/>
                <w:szCs w:val="16"/>
                <w:lang w:val="en-US"/>
              </w:rPr>
              <w:lastRenderedPageBreak/>
              <w:t>evaluation and approval of the Secretary or the Commission, for its authorization the procedure indicated in Articles 143 or 144 of this regulation must be followed, as appropriate, prior payment of rights or benefits.</w:t>
            </w:r>
          </w:p>
        </w:tc>
      </w:tr>
      <w:tr w:rsidR="009849AC" w:rsidRPr="00D0180E" w14:paraId="5DBABB2E" w14:textId="2D3EB806" w:rsidTr="00F867DE">
        <w:tc>
          <w:tcPr>
            <w:tcW w:w="4711" w:type="dxa"/>
          </w:tcPr>
          <w:p w14:paraId="78CCA3F4" w14:textId="77777777" w:rsidR="009849AC" w:rsidRPr="00837D4A" w:rsidRDefault="009849AC" w:rsidP="009849AC">
            <w:pPr>
              <w:pStyle w:val="Texto"/>
              <w:spacing w:line="256" w:lineRule="exact"/>
              <w:ind w:firstLine="0"/>
              <w:jc w:val="center"/>
              <w:rPr>
                <w:rFonts w:ascii="Verdana" w:hAnsi="Verdana"/>
                <w:b/>
                <w:sz w:val="16"/>
                <w:szCs w:val="16"/>
              </w:rPr>
            </w:pPr>
            <w:r w:rsidRPr="00837D4A">
              <w:rPr>
                <w:rFonts w:ascii="Verdana" w:hAnsi="Verdana"/>
                <w:b/>
                <w:sz w:val="16"/>
                <w:szCs w:val="16"/>
              </w:rPr>
              <w:lastRenderedPageBreak/>
              <w:t>Capítulo V</w:t>
            </w:r>
          </w:p>
        </w:tc>
        <w:tc>
          <w:tcPr>
            <w:tcW w:w="4649" w:type="dxa"/>
          </w:tcPr>
          <w:p w14:paraId="5A268489" w14:textId="3735AB82" w:rsidR="009849AC" w:rsidRPr="00837D4A" w:rsidRDefault="009849AC" w:rsidP="009849AC">
            <w:pPr>
              <w:pStyle w:val="Texto"/>
              <w:spacing w:line="256"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V</w:t>
            </w:r>
          </w:p>
        </w:tc>
      </w:tr>
      <w:tr w:rsidR="009849AC" w:rsidRPr="002C0F16" w14:paraId="58B7C5B0" w14:textId="12B76B1E" w:rsidTr="00F867DE">
        <w:tc>
          <w:tcPr>
            <w:tcW w:w="4711" w:type="dxa"/>
          </w:tcPr>
          <w:p w14:paraId="5FABB125" w14:textId="77777777" w:rsidR="009849AC" w:rsidRPr="00837D4A" w:rsidRDefault="009849AC" w:rsidP="009849AC">
            <w:pPr>
              <w:pStyle w:val="Texto"/>
              <w:spacing w:line="256" w:lineRule="exact"/>
              <w:ind w:firstLine="0"/>
              <w:jc w:val="center"/>
              <w:rPr>
                <w:rFonts w:ascii="Verdana" w:hAnsi="Verdana"/>
                <w:b/>
                <w:sz w:val="16"/>
                <w:szCs w:val="16"/>
              </w:rPr>
            </w:pPr>
            <w:r w:rsidRPr="00837D4A">
              <w:rPr>
                <w:rFonts w:ascii="Verdana" w:hAnsi="Verdana"/>
                <w:b/>
                <w:sz w:val="16"/>
                <w:szCs w:val="16"/>
              </w:rPr>
              <w:t>De las Cesiones de los Permisos</w:t>
            </w:r>
          </w:p>
        </w:tc>
        <w:tc>
          <w:tcPr>
            <w:tcW w:w="4649" w:type="dxa"/>
          </w:tcPr>
          <w:p w14:paraId="21950E3B" w14:textId="6464211E" w:rsidR="009849AC" w:rsidRPr="00837D4A" w:rsidRDefault="009849AC" w:rsidP="009849AC">
            <w:pPr>
              <w:pStyle w:val="Texto"/>
              <w:spacing w:line="256" w:lineRule="exact"/>
              <w:ind w:firstLine="0"/>
              <w:jc w:val="center"/>
              <w:rPr>
                <w:rFonts w:ascii="Verdana" w:hAnsi="Verdana"/>
                <w:b/>
                <w:sz w:val="16"/>
                <w:szCs w:val="16"/>
                <w:lang w:val="en-US"/>
              </w:rPr>
            </w:pPr>
            <w:r w:rsidRPr="00837D4A">
              <w:rPr>
                <w:rFonts w:ascii="Verdana" w:hAnsi="Verdana"/>
                <w:b/>
                <w:sz w:val="16"/>
                <w:szCs w:val="16"/>
                <w:lang w:val="en-US"/>
              </w:rPr>
              <w:t>Transfer of Permits</w:t>
            </w:r>
          </w:p>
        </w:tc>
      </w:tr>
      <w:tr w:rsidR="009849AC" w:rsidRPr="002C0F16" w14:paraId="19A3D117" w14:textId="6E4FA6FA" w:rsidTr="00F867DE">
        <w:tc>
          <w:tcPr>
            <w:tcW w:w="4711" w:type="dxa"/>
          </w:tcPr>
          <w:p w14:paraId="1D27C456"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Artículo 150.</w:t>
            </w:r>
            <w:r w:rsidRPr="00837D4A">
              <w:rPr>
                <w:rFonts w:ascii="Verdana" w:hAnsi="Verdana"/>
                <w:sz w:val="16"/>
                <w:szCs w:val="16"/>
              </w:rPr>
              <w:t xml:space="preserve"> Además de cumplir con lo previsto en el artículo 86 de la Ley, las solicitudes de cesiones de los permisos, al implicar un cambio de persona Permisionaria, se deben tramitar, a través de una solicitud de modificación de permiso, por lo que se deben substanciar, en lo conducente, conforme al procedimiento previsto en los artículos 143 o 144 del presente reglamento, según corresponda.</w:t>
            </w:r>
          </w:p>
        </w:tc>
        <w:tc>
          <w:tcPr>
            <w:tcW w:w="4649" w:type="dxa"/>
          </w:tcPr>
          <w:p w14:paraId="00C5B1D8" w14:textId="54FF1842"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Article 150. </w:t>
            </w:r>
            <w:r w:rsidRPr="00837D4A">
              <w:rPr>
                <w:rFonts w:ascii="Verdana" w:hAnsi="Verdana"/>
                <w:sz w:val="16"/>
                <w:szCs w:val="16"/>
                <w:lang w:val="en-US"/>
              </w:rPr>
              <w:t>In addition to complying with the provisions of Article 86 of the Law, applications for transfer of permits, since they involve a change of Permit Holder, must be processed through an application for modification of permit, and must therefore be substantiated, as appropriate, in accordance with the procedure provided for in Articles 143 or 144 of this Regulation, as appropriate.</w:t>
            </w:r>
          </w:p>
        </w:tc>
      </w:tr>
      <w:tr w:rsidR="009849AC" w:rsidRPr="002C0F16" w14:paraId="58C1B80C" w14:textId="3B446A09" w:rsidTr="00F867DE">
        <w:tc>
          <w:tcPr>
            <w:tcW w:w="4711" w:type="dxa"/>
          </w:tcPr>
          <w:p w14:paraId="3C991B86"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sz w:val="16"/>
                <w:szCs w:val="16"/>
              </w:rPr>
              <w:t>La persona cesionaria debe cumplir con los requisitos que se disponga en la Normatividad que al efecto emita la Secretaría o la Comisión, y con al menos los señalados en el artículo 96 de este reglamento, y el 80 de la Ley con excepción de las fracciones VI, VII y VIII.</w:t>
            </w:r>
          </w:p>
        </w:tc>
        <w:tc>
          <w:tcPr>
            <w:tcW w:w="4649" w:type="dxa"/>
          </w:tcPr>
          <w:p w14:paraId="4AA4A872" w14:textId="2FC27729" w:rsidR="009849AC" w:rsidRPr="00837D4A" w:rsidRDefault="009849AC" w:rsidP="009849AC">
            <w:pPr>
              <w:pStyle w:val="Texto"/>
              <w:spacing w:line="256" w:lineRule="exact"/>
              <w:ind w:firstLine="0"/>
              <w:rPr>
                <w:rFonts w:ascii="Verdana" w:hAnsi="Verdana"/>
                <w:sz w:val="16"/>
                <w:szCs w:val="16"/>
                <w:lang w:val="en-US"/>
              </w:rPr>
            </w:pPr>
            <w:r w:rsidRPr="00837D4A">
              <w:rPr>
                <w:rFonts w:ascii="Verdana" w:hAnsi="Verdana"/>
                <w:sz w:val="16"/>
                <w:szCs w:val="16"/>
                <w:lang w:val="en-US"/>
              </w:rPr>
              <w:t>The transferee must comply with the requirements set forth in the legislation issued for this purpose by the Secretary or the Commission, and with at least those indicated in article 96 of this regulation, and 80 of the Law with the exception of sections VI, VII and VIII.</w:t>
            </w:r>
          </w:p>
        </w:tc>
      </w:tr>
      <w:tr w:rsidR="009849AC" w:rsidRPr="002C0F16" w14:paraId="1C045949" w14:textId="29DF062A" w:rsidTr="00F867DE">
        <w:tc>
          <w:tcPr>
            <w:tcW w:w="4711" w:type="dxa"/>
          </w:tcPr>
          <w:p w14:paraId="1ABE926E"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Artículo 151.</w:t>
            </w:r>
            <w:r w:rsidRPr="00837D4A">
              <w:rPr>
                <w:rFonts w:ascii="Verdana" w:hAnsi="Verdana"/>
                <w:sz w:val="16"/>
                <w:szCs w:val="16"/>
              </w:rPr>
              <w:t xml:space="preserve"> La solicitud de modificación por cesión del permiso que implique una participación cruzada debe incluir la autorización por parte de la Secretaría a que se refiere el artículo 118, tercer párrafo de la Ley.</w:t>
            </w:r>
          </w:p>
        </w:tc>
        <w:tc>
          <w:tcPr>
            <w:tcW w:w="4649" w:type="dxa"/>
          </w:tcPr>
          <w:p w14:paraId="6BFC508C" w14:textId="52622221"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Article 151. </w:t>
            </w:r>
            <w:r w:rsidRPr="00837D4A">
              <w:rPr>
                <w:rFonts w:ascii="Verdana" w:hAnsi="Verdana"/>
                <w:sz w:val="16"/>
                <w:szCs w:val="16"/>
                <w:lang w:val="en-US"/>
              </w:rPr>
              <w:t>The request for modification by transfer of the permit that implies cross-shareholding must include the authorization by the Secretary referred to in Article 118, third paragraph of the Law.</w:t>
            </w:r>
          </w:p>
        </w:tc>
      </w:tr>
      <w:tr w:rsidR="009849AC" w:rsidRPr="002C0F16" w14:paraId="11032159" w14:textId="49AAFC27" w:rsidTr="00F867DE">
        <w:tc>
          <w:tcPr>
            <w:tcW w:w="4711" w:type="dxa"/>
          </w:tcPr>
          <w:p w14:paraId="6DE1F865"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 xml:space="preserve">Artículo 152. </w:t>
            </w:r>
            <w:r w:rsidRPr="00837D4A">
              <w:rPr>
                <w:rFonts w:ascii="Verdana" w:hAnsi="Verdana"/>
                <w:sz w:val="16"/>
                <w:szCs w:val="16"/>
              </w:rPr>
              <w:t>Para el otorgamiento, modificación o cesión de los permisos, la Secretaría o la Comisión deben llevar a cabo la evaluación a que refiere el artículo 81 de la Ley y considerar la planeación vinculante de conformidad con lo establecido en la Ley de Planeación y Transición Energética, su reglamento y demás Normatividad que para el efecto emita la Secretaría.</w:t>
            </w:r>
          </w:p>
        </w:tc>
        <w:tc>
          <w:tcPr>
            <w:tcW w:w="4649" w:type="dxa"/>
          </w:tcPr>
          <w:p w14:paraId="3F983038" w14:textId="2A94285B"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Article 152. </w:t>
            </w:r>
            <w:r w:rsidRPr="00837D4A">
              <w:rPr>
                <w:rFonts w:ascii="Verdana" w:hAnsi="Verdana"/>
                <w:sz w:val="16"/>
                <w:szCs w:val="16"/>
                <w:lang w:val="en-US"/>
              </w:rPr>
              <w:t>For the granting, modification or transfer of permits, the Secretary or the Commission must carry out the evaluation referred to in Article 81 of the Law and consider the binding planning in accordance with the provisions of the Law of Energy Planning and Transition, its Regulation and other Legislation issued by the Secretary for this purpose.</w:t>
            </w:r>
          </w:p>
        </w:tc>
      </w:tr>
      <w:tr w:rsidR="009849AC" w:rsidRPr="002C0F16" w14:paraId="19EE8EB4" w14:textId="4C7EBC32" w:rsidTr="00F867DE">
        <w:tc>
          <w:tcPr>
            <w:tcW w:w="4711" w:type="dxa"/>
          </w:tcPr>
          <w:p w14:paraId="4023011D"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sz w:val="16"/>
                <w:szCs w:val="16"/>
              </w:rPr>
              <w:t>En los casos en que exista presunción fundada de que el otorgamiento, modificación o cesión de los permisos, pueda propiciar la realización de actividades ilícitas en materia de Hidrocarburos, la Secretaría o la Comisión debe resolver en sentido negativo la solicitud correspondiente.</w:t>
            </w:r>
          </w:p>
        </w:tc>
        <w:tc>
          <w:tcPr>
            <w:tcW w:w="4649" w:type="dxa"/>
          </w:tcPr>
          <w:p w14:paraId="35069A90" w14:textId="42CA8263" w:rsidR="009849AC" w:rsidRPr="00837D4A" w:rsidRDefault="009849AC" w:rsidP="009849AC">
            <w:pPr>
              <w:pStyle w:val="Texto"/>
              <w:spacing w:line="256" w:lineRule="exact"/>
              <w:ind w:firstLine="0"/>
              <w:rPr>
                <w:rFonts w:ascii="Verdana" w:hAnsi="Verdana"/>
                <w:sz w:val="16"/>
                <w:szCs w:val="16"/>
                <w:lang w:val="en-US"/>
              </w:rPr>
            </w:pPr>
            <w:r w:rsidRPr="00837D4A">
              <w:rPr>
                <w:rFonts w:ascii="Verdana" w:hAnsi="Verdana"/>
                <w:sz w:val="16"/>
                <w:szCs w:val="16"/>
                <w:lang w:val="en-US"/>
              </w:rPr>
              <w:t>In cases where there is a well-founded presumption that the granting, modification, or transfer of permits could lead to illicit hydrocarbon activities, the Secretary or the Commission must reject the corresponding application.</w:t>
            </w:r>
          </w:p>
        </w:tc>
      </w:tr>
      <w:tr w:rsidR="009849AC" w:rsidRPr="00D0180E" w14:paraId="4A23463C" w14:textId="59645C54" w:rsidTr="00F867DE">
        <w:tc>
          <w:tcPr>
            <w:tcW w:w="4711" w:type="dxa"/>
          </w:tcPr>
          <w:p w14:paraId="6FE548B5" w14:textId="77777777" w:rsidR="009849AC" w:rsidRPr="00837D4A" w:rsidRDefault="009849AC" w:rsidP="009849AC">
            <w:pPr>
              <w:pStyle w:val="Texto"/>
              <w:spacing w:line="256" w:lineRule="exact"/>
              <w:ind w:firstLine="0"/>
              <w:jc w:val="center"/>
              <w:rPr>
                <w:rFonts w:ascii="Verdana" w:hAnsi="Verdana"/>
                <w:b/>
                <w:sz w:val="16"/>
                <w:szCs w:val="16"/>
              </w:rPr>
            </w:pPr>
            <w:r w:rsidRPr="00837D4A">
              <w:rPr>
                <w:rFonts w:ascii="Verdana" w:hAnsi="Verdana"/>
                <w:b/>
                <w:sz w:val="16"/>
                <w:szCs w:val="16"/>
              </w:rPr>
              <w:t>Capítulo VI</w:t>
            </w:r>
          </w:p>
        </w:tc>
        <w:tc>
          <w:tcPr>
            <w:tcW w:w="4649" w:type="dxa"/>
          </w:tcPr>
          <w:p w14:paraId="7A36F06F" w14:textId="2AEF5A74" w:rsidR="009849AC" w:rsidRPr="00837D4A" w:rsidRDefault="009849AC" w:rsidP="009849AC">
            <w:pPr>
              <w:pStyle w:val="Texto"/>
              <w:spacing w:line="256"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VI</w:t>
            </w:r>
          </w:p>
        </w:tc>
      </w:tr>
      <w:tr w:rsidR="009849AC" w:rsidRPr="002C0F16" w14:paraId="281F69C1" w14:textId="28B2BE13" w:rsidTr="00F867DE">
        <w:tc>
          <w:tcPr>
            <w:tcW w:w="4711" w:type="dxa"/>
          </w:tcPr>
          <w:p w14:paraId="464A36A6" w14:textId="77777777" w:rsidR="009849AC" w:rsidRPr="00837D4A" w:rsidRDefault="009849AC" w:rsidP="009849AC">
            <w:pPr>
              <w:pStyle w:val="Texto"/>
              <w:spacing w:line="256" w:lineRule="exact"/>
              <w:ind w:firstLine="0"/>
              <w:jc w:val="center"/>
              <w:rPr>
                <w:rFonts w:ascii="Verdana" w:hAnsi="Verdana"/>
                <w:b/>
                <w:sz w:val="16"/>
                <w:szCs w:val="16"/>
              </w:rPr>
            </w:pPr>
            <w:r w:rsidRPr="00837D4A">
              <w:rPr>
                <w:rFonts w:ascii="Verdana" w:hAnsi="Verdana"/>
                <w:b/>
                <w:sz w:val="16"/>
                <w:szCs w:val="16"/>
              </w:rPr>
              <w:t>Del Contenido de los Títulos de Permisos</w:t>
            </w:r>
          </w:p>
        </w:tc>
        <w:tc>
          <w:tcPr>
            <w:tcW w:w="4649" w:type="dxa"/>
          </w:tcPr>
          <w:p w14:paraId="6C329A2B" w14:textId="10DCF46B" w:rsidR="009849AC" w:rsidRPr="00837D4A" w:rsidRDefault="009849AC" w:rsidP="009849AC">
            <w:pPr>
              <w:pStyle w:val="Texto"/>
              <w:spacing w:line="256" w:lineRule="exact"/>
              <w:ind w:firstLine="0"/>
              <w:jc w:val="center"/>
              <w:rPr>
                <w:rFonts w:ascii="Verdana" w:hAnsi="Verdana"/>
                <w:b/>
                <w:sz w:val="16"/>
                <w:szCs w:val="16"/>
                <w:lang w:val="en-US"/>
              </w:rPr>
            </w:pPr>
            <w:r w:rsidRPr="00837D4A">
              <w:rPr>
                <w:rFonts w:ascii="Verdana" w:hAnsi="Verdana"/>
                <w:b/>
                <w:sz w:val="16"/>
                <w:szCs w:val="16"/>
                <w:lang w:val="en-US"/>
              </w:rPr>
              <w:t>Content of the Permit Titles</w:t>
            </w:r>
          </w:p>
        </w:tc>
      </w:tr>
      <w:tr w:rsidR="009849AC" w:rsidRPr="002C0F16" w14:paraId="31C2473B" w14:textId="6C515775" w:rsidTr="00F867DE">
        <w:tc>
          <w:tcPr>
            <w:tcW w:w="4711" w:type="dxa"/>
          </w:tcPr>
          <w:p w14:paraId="5828D6B8"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 xml:space="preserve">Artículo 153. </w:t>
            </w:r>
            <w:r w:rsidRPr="00837D4A">
              <w:rPr>
                <w:rFonts w:ascii="Verdana" w:hAnsi="Verdana"/>
                <w:sz w:val="16"/>
                <w:szCs w:val="16"/>
              </w:rPr>
              <w:t>La Normatividad aplicable a los permisos, emitida por la Secretaría o la Comisión, en el ámbito de sus competencias, deben establecer los modelos de los títulos de permisos para cada una de las actividades permisionadas conforme al presente reglamento.</w:t>
            </w:r>
          </w:p>
        </w:tc>
        <w:tc>
          <w:tcPr>
            <w:tcW w:w="4649" w:type="dxa"/>
          </w:tcPr>
          <w:p w14:paraId="07951CD1" w14:textId="4AD7EC19"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Article 153. </w:t>
            </w:r>
            <w:r w:rsidRPr="00837D4A">
              <w:rPr>
                <w:rFonts w:ascii="Verdana" w:hAnsi="Verdana"/>
                <w:sz w:val="16"/>
                <w:szCs w:val="16"/>
                <w:lang w:val="en-US"/>
              </w:rPr>
              <w:t>The Regulation applicable to permits, issued by the Secretary or the Commission, within the scope of their powers, must establish the models of the permit titles for each of the activities permitted in accordance with this Regulation.</w:t>
            </w:r>
          </w:p>
        </w:tc>
      </w:tr>
      <w:tr w:rsidR="009849AC" w:rsidRPr="002C0F16" w14:paraId="2327DB9F" w14:textId="7E7F3465" w:rsidTr="00F867DE">
        <w:tc>
          <w:tcPr>
            <w:tcW w:w="4711" w:type="dxa"/>
          </w:tcPr>
          <w:p w14:paraId="05337BFA"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sz w:val="16"/>
                <w:szCs w:val="16"/>
              </w:rPr>
              <w:lastRenderedPageBreak/>
              <w:t>Los títulos de permiso deben contener, entre otros, los siguientes elementos:</w:t>
            </w:r>
          </w:p>
        </w:tc>
        <w:tc>
          <w:tcPr>
            <w:tcW w:w="4649" w:type="dxa"/>
          </w:tcPr>
          <w:p w14:paraId="710A08EA" w14:textId="2127B84B" w:rsidR="009849AC" w:rsidRPr="00837D4A" w:rsidRDefault="009849AC" w:rsidP="009849AC">
            <w:pPr>
              <w:pStyle w:val="Texto"/>
              <w:spacing w:line="256" w:lineRule="exact"/>
              <w:ind w:firstLine="0"/>
              <w:rPr>
                <w:rFonts w:ascii="Verdana" w:hAnsi="Verdana"/>
                <w:sz w:val="16"/>
                <w:szCs w:val="16"/>
                <w:lang w:val="en-US"/>
              </w:rPr>
            </w:pPr>
            <w:r w:rsidRPr="00837D4A">
              <w:rPr>
                <w:rFonts w:ascii="Verdana" w:hAnsi="Verdana"/>
                <w:sz w:val="16"/>
                <w:szCs w:val="16"/>
                <w:lang w:val="en-US"/>
              </w:rPr>
              <w:t>Permit titles must contain, among others, the following elements:</w:t>
            </w:r>
          </w:p>
        </w:tc>
      </w:tr>
      <w:tr w:rsidR="009849AC" w:rsidRPr="002C0F16" w14:paraId="51C61828" w14:textId="2904ED86" w:rsidTr="00F867DE">
        <w:tc>
          <w:tcPr>
            <w:tcW w:w="4711" w:type="dxa"/>
          </w:tcPr>
          <w:p w14:paraId="4B212646"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El nombre o razón o denominación social y domicilio de la persona Permisionaria en el territorio nacional;</w:t>
            </w:r>
          </w:p>
        </w:tc>
        <w:tc>
          <w:tcPr>
            <w:tcW w:w="4649" w:type="dxa"/>
          </w:tcPr>
          <w:p w14:paraId="3D18F28A" w14:textId="0BD5CDBF"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name or business name or corporate name and address of the Permit Holder in the national territory;</w:t>
            </w:r>
          </w:p>
        </w:tc>
      </w:tr>
      <w:tr w:rsidR="009849AC" w:rsidRPr="002C0F16" w14:paraId="19445E30" w14:textId="011D6F34" w:rsidTr="00F867DE">
        <w:tc>
          <w:tcPr>
            <w:tcW w:w="4711" w:type="dxa"/>
          </w:tcPr>
          <w:p w14:paraId="3799905F"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El</w:t>
            </w:r>
            <w:r w:rsidRPr="00837D4A">
              <w:rPr>
                <w:rFonts w:ascii="Verdana" w:hAnsi="Verdana"/>
                <w:b/>
                <w:sz w:val="16"/>
                <w:szCs w:val="16"/>
              </w:rPr>
              <w:t xml:space="preserve"> </w:t>
            </w:r>
            <w:r w:rsidRPr="00837D4A">
              <w:rPr>
                <w:rFonts w:ascii="Verdana" w:hAnsi="Verdana"/>
                <w:sz w:val="16"/>
                <w:szCs w:val="16"/>
              </w:rPr>
              <w:t>objeto del permiso;</w:t>
            </w:r>
          </w:p>
        </w:tc>
        <w:tc>
          <w:tcPr>
            <w:tcW w:w="4649" w:type="dxa"/>
          </w:tcPr>
          <w:p w14:paraId="613FD3EA" w14:textId="2442E138"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Pr="00837D4A">
              <w:rPr>
                <w:rFonts w:ascii="Verdana" w:hAnsi="Verdana"/>
                <w:sz w:val="16"/>
                <w:szCs w:val="16"/>
                <w:lang w:val="en-US"/>
              </w:rPr>
              <w:t>purpose of the permit;</w:t>
            </w:r>
          </w:p>
        </w:tc>
      </w:tr>
      <w:tr w:rsidR="009849AC" w:rsidRPr="002C0F16" w14:paraId="57444574" w14:textId="68B1906C" w:rsidTr="00F867DE">
        <w:tc>
          <w:tcPr>
            <w:tcW w:w="4711" w:type="dxa"/>
          </w:tcPr>
          <w:p w14:paraId="6EDE0A76"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w:t>
            </w:r>
            <w:r w:rsidRPr="00837D4A">
              <w:rPr>
                <w:rFonts w:ascii="Verdana" w:hAnsi="Verdana"/>
                <w:b/>
                <w:sz w:val="16"/>
                <w:szCs w:val="16"/>
              </w:rPr>
              <w:t xml:space="preserve"> </w:t>
            </w:r>
            <w:r w:rsidRPr="00837D4A">
              <w:rPr>
                <w:rFonts w:ascii="Verdana" w:hAnsi="Verdana"/>
                <w:sz w:val="16"/>
                <w:szCs w:val="16"/>
              </w:rPr>
              <w:t>fecha de otorgamiento y su vigencia;</w:t>
            </w:r>
          </w:p>
        </w:tc>
        <w:tc>
          <w:tcPr>
            <w:tcW w:w="4649" w:type="dxa"/>
          </w:tcPr>
          <w:p w14:paraId="7EFE716C" w14:textId="34C6EA1A"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Pr="00837D4A">
              <w:rPr>
                <w:rFonts w:ascii="Verdana" w:hAnsi="Verdana"/>
                <w:sz w:val="16"/>
                <w:szCs w:val="16"/>
                <w:lang w:val="en-US"/>
              </w:rPr>
              <w:t>date of granting and its validity;</w:t>
            </w:r>
          </w:p>
        </w:tc>
      </w:tr>
      <w:tr w:rsidR="009849AC" w:rsidRPr="002C0F16" w14:paraId="5C1E60F4" w14:textId="0252358C" w:rsidTr="00F867DE">
        <w:tc>
          <w:tcPr>
            <w:tcW w:w="4711" w:type="dxa"/>
          </w:tcPr>
          <w:p w14:paraId="71296541"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descripción del Sistema y el monto de inversión;</w:t>
            </w:r>
          </w:p>
        </w:tc>
        <w:tc>
          <w:tcPr>
            <w:tcW w:w="4649" w:type="dxa"/>
          </w:tcPr>
          <w:p w14:paraId="26DCF256" w14:textId="4E0FA93B"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description of the System and the investment amount;</w:t>
            </w:r>
          </w:p>
        </w:tc>
      </w:tr>
      <w:tr w:rsidR="009849AC" w:rsidRPr="00D0180E" w14:paraId="339C15F1" w14:textId="054982BF" w:rsidTr="00F867DE">
        <w:tc>
          <w:tcPr>
            <w:tcW w:w="4711" w:type="dxa"/>
          </w:tcPr>
          <w:p w14:paraId="147A51AD"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Los productos autorizados;</w:t>
            </w:r>
          </w:p>
        </w:tc>
        <w:tc>
          <w:tcPr>
            <w:tcW w:w="4649" w:type="dxa"/>
          </w:tcPr>
          <w:p w14:paraId="70299806" w14:textId="49DC28B4"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Authorized products;</w:t>
            </w:r>
          </w:p>
        </w:tc>
      </w:tr>
      <w:tr w:rsidR="009849AC" w:rsidRPr="002C0F16" w14:paraId="2ABFDB78" w14:textId="06BA18B1" w:rsidTr="00F867DE">
        <w:tc>
          <w:tcPr>
            <w:tcW w:w="4711" w:type="dxa"/>
          </w:tcPr>
          <w:p w14:paraId="06028BF5"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Las obligaciones de la persona Permisionaria y las condiciones del permiso;</w:t>
            </w:r>
          </w:p>
        </w:tc>
        <w:tc>
          <w:tcPr>
            <w:tcW w:w="4649" w:type="dxa"/>
          </w:tcPr>
          <w:p w14:paraId="2C51F12E" w14:textId="1E126D4A"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The obligations of the Permit Holder and the conditions of the permit;</w:t>
            </w:r>
          </w:p>
        </w:tc>
      </w:tr>
      <w:tr w:rsidR="009849AC" w:rsidRPr="002C0F16" w14:paraId="223853E5" w14:textId="5E9E31FF" w:rsidTr="00F867DE">
        <w:tc>
          <w:tcPr>
            <w:tcW w:w="4711" w:type="dxa"/>
          </w:tcPr>
          <w:p w14:paraId="1D535D8B"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Los términos y condiciones para la prestación de los servicios, en su caso;</w:t>
            </w:r>
          </w:p>
        </w:tc>
        <w:tc>
          <w:tcPr>
            <w:tcW w:w="4649" w:type="dxa"/>
          </w:tcPr>
          <w:p w14:paraId="75F0FDFE" w14:textId="43F778F0"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The terms and conditions for the provision of services, if applicable;</w:t>
            </w:r>
          </w:p>
        </w:tc>
      </w:tr>
      <w:tr w:rsidR="009849AC" w:rsidRPr="002C0F16" w14:paraId="5B55171D" w14:textId="394CEADE" w:rsidTr="00F867DE">
        <w:tc>
          <w:tcPr>
            <w:tcW w:w="4711" w:type="dxa"/>
          </w:tcPr>
          <w:p w14:paraId="65F74D15" w14:textId="77777777" w:rsidR="009849AC" w:rsidRPr="00837D4A" w:rsidRDefault="009849AC" w:rsidP="009849AC">
            <w:pPr>
              <w:pStyle w:val="Texto"/>
              <w:spacing w:line="256" w:lineRule="exact"/>
              <w:ind w:firstLine="0"/>
              <w:rPr>
                <w:rFonts w:ascii="Verdana" w:hAnsi="Verdana"/>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Los</w:t>
            </w:r>
            <w:r w:rsidRPr="00837D4A">
              <w:rPr>
                <w:rFonts w:ascii="Verdana" w:hAnsi="Verdana"/>
                <w:b/>
                <w:sz w:val="16"/>
                <w:szCs w:val="16"/>
              </w:rPr>
              <w:t xml:space="preserve"> </w:t>
            </w:r>
            <w:r w:rsidRPr="00837D4A">
              <w:rPr>
                <w:rFonts w:ascii="Verdana" w:hAnsi="Verdana"/>
                <w:sz w:val="16"/>
                <w:szCs w:val="16"/>
              </w:rPr>
              <w:t>seguros con los que debe contar y mantener la persona Permisionaria, en su caso, y</w:t>
            </w:r>
          </w:p>
        </w:tc>
        <w:tc>
          <w:tcPr>
            <w:tcW w:w="4649" w:type="dxa"/>
          </w:tcPr>
          <w:p w14:paraId="56DB0836" w14:textId="07E76CDA"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Pr="00837D4A">
              <w:rPr>
                <w:rFonts w:ascii="Verdana" w:hAnsi="Verdana"/>
                <w:sz w:val="16"/>
                <w:szCs w:val="16"/>
                <w:lang w:val="en-US"/>
              </w:rPr>
              <w:t>insurance that the Permit Holder must have and maintain, if applicable, and</w:t>
            </w:r>
          </w:p>
        </w:tc>
      </w:tr>
      <w:tr w:rsidR="009849AC" w:rsidRPr="002C0F16" w14:paraId="2F036860" w14:textId="2BD6D6FC" w:rsidTr="00F867DE">
        <w:tc>
          <w:tcPr>
            <w:tcW w:w="4711" w:type="dxa"/>
          </w:tcPr>
          <w:p w14:paraId="6A64905E" w14:textId="77777777" w:rsidR="009849AC" w:rsidRPr="00837D4A" w:rsidRDefault="009849AC" w:rsidP="009849AC">
            <w:pPr>
              <w:pStyle w:val="Texto"/>
              <w:spacing w:line="256" w:lineRule="exact"/>
              <w:ind w:firstLine="0"/>
              <w:rPr>
                <w:rFonts w:ascii="Verdana" w:hAnsi="Verdana"/>
                <w:b/>
                <w:sz w:val="16"/>
                <w:szCs w:val="16"/>
              </w:rPr>
            </w:pPr>
            <w:r w:rsidRPr="00837D4A">
              <w:rPr>
                <w:rFonts w:ascii="Verdana" w:hAnsi="Verdana"/>
                <w:b/>
                <w:sz w:val="16"/>
                <w:szCs w:val="16"/>
              </w:rPr>
              <w:t>IX.</w:t>
            </w:r>
            <w:r w:rsidRPr="00837D4A">
              <w:rPr>
                <w:rFonts w:ascii="Verdana" w:hAnsi="Verdana"/>
                <w:b/>
                <w:sz w:val="16"/>
                <w:szCs w:val="16"/>
              </w:rPr>
              <w:tab/>
            </w:r>
            <w:r w:rsidRPr="00837D4A">
              <w:rPr>
                <w:rFonts w:ascii="Verdana" w:hAnsi="Verdana"/>
                <w:sz w:val="16"/>
                <w:szCs w:val="16"/>
              </w:rPr>
              <w:t>La</w:t>
            </w:r>
            <w:r w:rsidRPr="00837D4A">
              <w:rPr>
                <w:rFonts w:ascii="Verdana" w:hAnsi="Verdana"/>
                <w:b/>
                <w:sz w:val="16"/>
                <w:szCs w:val="16"/>
              </w:rPr>
              <w:t xml:space="preserve"> </w:t>
            </w:r>
            <w:r w:rsidRPr="00837D4A">
              <w:rPr>
                <w:rFonts w:ascii="Verdana" w:hAnsi="Verdana"/>
                <w:sz w:val="16"/>
                <w:szCs w:val="16"/>
              </w:rPr>
              <w:t>estructura del capital social de la persona Permisionaria, en su caso.</w:t>
            </w:r>
          </w:p>
        </w:tc>
        <w:tc>
          <w:tcPr>
            <w:tcW w:w="4649" w:type="dxa"/>
          </w:tcPr>
          <w:p w14:paraId="6C025371" w14:textId="54479C9E" w:rsidR="009849AC" w:rsidRPr="00837D4A" w:rsidRDefault="009849AC" w:rsidP="009849AC">
            <w:pPr>
              <w:pStyle w:val="Texto"/>
              <w:spacing w:line="256" w:lineRule="exact"/>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Pr="00837D4A">
              <w:rPr>
                <w:rFonts w:ascii="Verdana" w:hAnsi="Verdana"/>
                <w:sz w:val="16"/>
                <w:szCs w:val="16"/>
                <w:lang w:val="en-US"/>
              </w:rPr>
              <w:t>structure of the share capital of the Permit Holder, if applicable.</w:t>
            </w:r>
          </w:p>
        </w:tc>
      </w:tr>
      <w:tr w:rsidR="009849AC" w:rsidRPr="00D0180E" w14:paraId="02A38697" w14:textId="30480459" w:rsidTr="00F867DE">
        <w:tc>
          <w:tcPr>
            <w:tcW w:w="4711" w:type="dxa"/>
          </w:tcPr>
          <w:p w14:paraId="30C7F8E0" w14:textId="77777777" w:rsidR="009849AC" w:rsidRPr="00837D4A" w:rsidRDefault="009849AC" w:rsidP="009849AC">
            <w:pPr>
              <w:pStyle w:val="Texto"/>
              <w:spacing w:line="242" w:lineRule="exact"/>
              <w:ind w:firstLine="0"/>
              <w:jc w:val="center"/>
              <w:rPr>
                <w:rFonts w:ascii="Verdana" w:hAnsi="Verdana"/>
                <w:b/>
                <w:sz w:val="16"/>
                <w:szCs w:val="16"/>
              </w:rPr>
            </w:pPr>
            <w:r w:rsidRPr="00837D4A">
              <w:rPr>
                <w:rFonts w:ascii="Verdana" w:hAnsi="Verdana"/>
                <w:b/>
                <w:sz w:val="16"/>
                <w:szCs w:val="16"/>
              </w:rPr>
              <w:t>Capítulo VII</w:t>
            </w:r>
          </w:p>
        </w:tc>
        <w:tc>
          <w:tcPr>
            <w:tcW w:w="4649" w:type="dxa"/>
          </w:tcPr>
          <w:p w14:paraId="55DB8C31" w14:textId="5A5046CB" w:rsidR="009849AC" w:rsidRPr="00837D4A" w:rsidRDefault="009849AC" w:rsidP="009849AC">
            <w:pPr>
              <w:pStyle w:val="Texto"/>
              <w:spacing w:line="242"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VII</w:t>
            </w:r>
          </w:p>
        </w:tc>
      </w:tr>
      <w:tr w:rsidR="009849AC" w:rsidRPr="002C0F16" w14:paraId="7B7FCB23" w14:textId="629E270A" w:rsidTr="00F867DE">
        <w:tc>
          <w:tcPr>
            <w:tcW w:w="4711" w:type="dxa"/>
          </w:tcPr>
          <w:p w14:paraId="566F00D5" w14:textId="77777777" w:rsidR="009849AC" w:rsidRPr="00837D4A" w:rsidRDefault="009849AC" w:rsidP="009849AC">
            <w:pPr>
              <w:pStyle w:val="Texto"/>
              <w:spacing w:line="242" w:lineRule="exact"/>
              <w:ind w:firstLine="0"/>
              <w:jc w:val="center"/>
              <w:rPr>
                <w:rFonts w:ascii="Verdana" w:hAnsi="Verdana"/>
                <w:b/>
                <w:sz w:val="16"/>
                <w:szCs w:val="16"/>
              </w:rPr>
            </w:pPr>
            <w:r w:rsidRPr="00837D4A">
              <w:rPr>
                <w:rFonts w:ascii="Verdana" w:hAnsi="Verdana"/>
                <w:b/>
                <w:sz w:val="16"/>
                <w:szCs w:val="16"/>
              </w:rPr>
              <w:t>De las Obligaciones de la Persona Permisionaria</w:t>
            </w:r>
          </w:p>
        </w:tc>
        <w:tc>
          <w:tcPr>
            <w:tcW w:w="4649" w:type="dxa"/>
          </w:tcPr>
          <w:p w14:paraId="684C9268" w14:textId="54B8BB14" w:rsidR="009849AC" w:rsidRPr="00837D4A" w:rsidRDefault="009849AC" w:rsidP="009849AC">
            <w:pPr>
              <w:pStyle w:val="Texto"/>
              <w:spacing w:line="242" w:lineRule="exact"/>
              <w:ind w:firstLine="0"/>
              <w:jc w:val="center"/>
              <w:rPr>
                <w:rFonts w:ascii="Verdana" w:hAnsi="Verdana"/>
                <w:b/>
                <w:sz w:val="16"/>
                <w:szCs w:val="16"/>
                <w:lang w:val="en-US"/>
              </w:rPr>
            </w:pPr>
            <w:r w:rsidRPr="00837D4A">
              <w:rPr>
                <w:rFonts w:ascii="Verdana" w:hAnsi="Verdana"/>
                <w:b/>
                <w:sz w:val="16"/>
                <w:szCs w:val="16"/>
                <w:lang w:val="en-US"/>
              </w:rPr>
              <w:t>Obligations of the Permit Holder</w:t>
            </w:r>
          </w:p>
        </w:tc>
      </w:tr>
      <w:tr w:rsidR="009849AC" w:rsidRPr="002C0F16" w14:paraId="69B5E380" w14:textId="5C998F93" w:rsidTr="00F867DE">
        <w:tc>
          <w:tcPr>
            <w:tcW w:w="4711" w:type="dxa"/>
          </w:tcPr>
          <w:p w14:paraId="70A0F3CD"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Artículo 154. </w:t>
            </w:r>
            <w:r w:rsidRPr="00837D4A">
              <w:rPr>
                <w:rFonts w:ascii="Verdana" w:hAnsi="Verdana"/>
                <w:sz w:val="16"/>
                <w:szCs w:val="16"/>
              </w:rPr>
              <w:t>Las personas Permisionarias requieren autorización por parte de la Secretaría o la Comisión para iniciar las operaciones, para lo cual debe presentar la solicitud correspondiente, en términos de la Normatividad aplicable.</w:t>
            </w:r>
          </w:p>
        </w:tc>
        <w:tc>
          <w:tcPr>
            <w:tcW w:w="4649" w:type="dxa"/>
          </w:tcPr>
          <w:p w14:paraId="0A25D48B" w14:textId="7BD1202B"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154. </w:t>
            </w:r>
            <w:r w:rsidRPr="00837D4A">
              <w:rPr>
                <w:rFonts w:ascii="Verdana" w:hAnsi="Verdana"/>
                <w:sz w:val="16"/>
                <w:szCs w:val="16"/>
                <w:lang w:val="en-US"/>
              </w:rPr>
              <w:t>Permit holders require authorization from the Secretary or the Commission to begin operations, for which they must submit the corresponding application, in accordance with the applicable legislation.</w:t>
            </w:r>
          </w:p>
        </w:tc>
      </w:tr>
      <w:tr w:rsidR="009849AC" w:rsidRPr="002C0F16" w14:paraId="5F275DB0" w14:textId="68579FAD" w:rsidTr="00F867DE">
        <w:tc>
          <w:tcPr>
            <w:tcW w:w="4711" w:type="dxa"/>
          </w:tcPr>
          <w:p w14:paraId="01E5923A"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Artículo 155.</w:t>
            </w:r>
            <w:r w:rsidRPr="00837D4A">
              <w:rPr>
                <w:rFonts w:ascii="Verdana" w:hAnsi="Verdana"/>
                <w:sz w:val="16"/>
                <w:szCs w:val="16"/>
              </w:rPr>
              <w:t xml:space="preserve"> Las personas Permisionarias están obligadas a contar y mantener vigentes los seguros por daños, los cuales deben incluir en sus alcances lo necesario para cubrir los daños a terceros, además de acreditar que estos cumplen con los términos que establezca la Normatividad que al efecto emitan la Agencia, la Secretaría y la Comisión, en el ámbito de sus competencias, para hacer frente a las responsabilidades en que puedan incurrir por la realización de actividades permisionadas.</w:t>
            </w:r>
          </w:p>
        </w:tc>
        <w:tc>
          <w:tcPr>
            <w:tcW w:w="4649" w:type="dxa"/>
          </w:tcPr>
          <w:p w14:paraId="04959F1F" w14:textId="2E1EDB40"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155. </w:t>
            </w:r>
            <w:r w:rsidRPr="00837D4A">
              <w:rPr>
                <w:rFonts w:ascii="Verdana" w:hAnsi="Verdana"/>
                <w:sz w:val="16"/>
                <w:szCs w:val="16"/>
                <w:lang w:val="en-US"/>
              </w:rPr>
              <w:t>Permit holders are required to have and maintain current damage insurance, which must include in its scope what is necessary to cover damages to third parties, in addition to proving that these comply with the terms established by the Regulation issued for this purpose by the Agency, the Secretary and the Commission, within the scope of their powers, to meet the liabilities that may be incurred by carrying out permitted activities.</w:t>
            </w:r>
          </w:p>
        </w:tc>
      </w:tr>
      <w:tr w:rsidR="009849AC" w:rsidRPr="002C0F16" w14:paraId="72F8BA66" w14:textId="7B06119E" w:rsidTr="00F867DE">
        <w:tc>
          <w:tcPr>
            <w:tcW w:w="4711" w:type="dxa"/>
          </w:tcPr>
          <w:p w14:paraId="0441FFA3"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Artículo 156.</w:t>
            </w:r>
            <w:r w:rsidRPr="00837D4A">
              <w:rPr>
                <w:rFonts w:ascii="Verdana" w:hAnsi="Verdana"/>
                <w:sz w:val="16"/>
                <w:szCs w:val="16"/>
              </w:rPr>
              <w:t xml:space="preserve"> Las personas Permisionarias deben realizar la medición y proporcionar los documentos en los que se señale el volumen y las especificaciones de calidad de los productos autorizados, de acuerdo con la Normatividad que para el efecto emitan la Secretaría o la Comisión.</w:t>
            </w:r>
          </w:p>
        </w:tc>
        <w:tc>
          <w:tcPr>
            <w:tcW w:w="4649" w:type="dxa"/>
          </w:tcPr>
          <w:p w14:paraId="32DEE4CB" w14:textId="48082FED"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156. </w:t>
            </w:r>
            <w:r w:rsidRPr="00837D4A">
              <w:rPr>
                <w:rFonts w:ascii="Verdana" w:hAnsi="Verdana"/>
                <w:sz w:val="16"/>
                <w:szCs w:val="16"/>
                <w:lang w:val="en-US"/>
              </w:rPr>
              <w:t>Permit holders must perform the measurement and provide the documents indicating the volume and quality specifications of the authorized products, in accordance with the legislation issued for this purpose by the Secretary or the Commission.</w:t>
            </w:r>
          </w:p>
        </w:tc>
      </w:tr>
      <w:tr w:rsidR="009849AC" w:rsidRPr="002C0F16" w14:paraId="4F93958E" w14:textId="2BFC061B" w:rsidTr="00F867DE">
        <w:tc>
          <w:tcPr>
            <w:tcW w:w="4711" w:type="dxa"/>
          </w:tcPr>
          <w:p w14:paraId="4B13BF02"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Artículo 157.</w:t>
            </w:r>
            <w:r w:rsidRPr="00837D4A">
              <w:rPr>
                <w:rFonts w:ascii="Verdana" w:hAnsi="Verdana"/>
                <w:sz w:val="16"/>
                <w:szCs w:val="16"/>
              </w:rPr>
              <w:t xml:space="preserve"> Las personas Permisionarias están obligadas a comprobar la procedencia y adquisición lícita de los Hidrocarburos, Petrolíferos y Petroquímicos conforme al artículo 119, fracción V de la Ley.</w:t>
            </w:r>
          </w:p>
        </w:tc>
        <w:tc>
          <w:tcPr>
            <w:tcW w:w="4649" w:type="dxa"/>
          </w:tcPr>
          <w:p w14:paraId="7E8302C9" w14:textId="01CFD191"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157. </w:t>
            </w:r>
            <w:r w:rsidRPr="00837D4A">
              <w:rPr>
                <w:rFonts w:ascii="Verdana" w:hAnsi="Verdana"/>
                <w:sz w:val="16"/>
                <w:szCs w:val="16"/>
                <w:lang w:val="en-US"/>
              </w:rPr>
              <w:t>Permit holders are required to verify the origin and lawful acquisition of hydrocarbons, petroleum products and petrochemicals in accordance with Article 119, Section V of the Law.</w:t>
            </w:r>
          </w:p>
        </w:tc>
      </w:tr>
      <w:tr w:rsidR="009849AC" w:rsidRPr="002C0F16" w14:paraId="216CCB3B" w14:textId="030ED614" w:rsidTr="00F867DE">
        <w:tc>
          <w:tcPr>
            <w:tcW w:w="4711" w:type="dxa"/>
          </w:tcPr>
          <w:p w14:paraId="6BDD3CA7"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sz w:val="16"/>
                <w:szCs w:val="16"/>
              </w:rPr>
              <w:lastRenderedPageBreak/>
              <w:t>La Secretaría o la Comisión deben requerir la información o documentación que compruebe lo señalado en el párrafo anterior, en los términos de la Normatividad que para tal efecto emitan.</w:t>
            </w:r>
          </w:p>
        </w:tc>
        <w:tc>
          <w:tcPr>
            <w:tcW w:w="4649" w:type="dxa"/>
          </w:tcPr>
          <w:p w14:paraId="6B3776E2" w14:textId="5BFF93B1" w:rsidR="009849AC" w:rsidRPr="00837D4A" w:rsidRDefault="009849AC" w:rsidP="009849AC">
            <w:pPr>
              <w:pStyle w:val="Texto"/>
              <w:spacing w:line="242" w:lineRule="exact"/>
              <w:ind w:firstLine="0"/>
              <w:rPr>
                <w:rFonts w:ascii="Verdana" w:hAnsi="Verdana"/>
                <w:sz w:val="16"/>
                <w:szCs w:val="16"/>
                <w:lang w:val="en-US"/>
              </w:rPr>
            </w:pPr>
            <w:r w:rsidRPr="00837D4A">
              <w:rPr>
                <w:rFonts w:ascii="Verdana" w:hAnsi="Verdana"/>
                <w:sz w:val="16"/>
                <w:szCs w:val="16"/>
                <w:lang w:val="en-US"/>
              </w:rPr>
              <w:t>The Secretary or the Commission must request the information or documentation that verifies what is stated in the preceding paragraph, in accordance with the legislation issued for this purpose.</w:t>
            </w:r>
          </w:p>
        </w:tc>
      </w:tr>
      <w:tr w:rsidR="009849AC" w:rsidRPr="002C0F16" w14:paraId="2B4A6FFD" w14:textId="49D8B018" w:rsidTr="00F867DE">
        <w:tc>
          <w:tcPr>
            <w:tcW w:w="4711" w:type="dxa"/>
          </w:tcPr>
          <w:p w14:paraId="65BD53F3" w14:textId="77777777" w:rsidR="009849AC" w:rsidRPr="00837D4A" w:rsidRDefault="009849AC" w:rsidP="009849AC">
            <w:pPr>
              <w:pStyle w:val="Texto"/>
              <w:spacing w:line="242" w:lineRule="exact"/>
              <w:ind w:firstLine="0"/>
              <w:rPr>
                <w:rFonts w:ascii="Verdana" w:hAnsi="Verdana"/>
                <w:sz w:val="16"/>
                <w:szCs w:val="16"/>
                <w:lang w:val="es"/>
              </w:rPr>
            </w:pPr>
            <w:r w:rsidRPr="00837D4A">
              <w:rPr>
                <w:rFonts w:ascii="Verdana" w:hAnsi="Verdana"/>
                <w:sz w:val="16"/>
                <w:szCs w:val="16"/>
              </w:rPr>
              <w:t xml:space="preserve">Las personas Permisionarias </w:t>
            </w:r>
            <w:r w:rsidRPr="00837D4A">
              <w:rPr>
                <w:rFonts w:ascii="Verdana" w:hAnsi="Verdana"/>
                <w:sz w:val="16"/>
                <w:szCs w:val="16"/>
                <w:lang w:val="es"/>
              </w:rPr>
              <w:t xml:space="preserve">de las actividades que establece el artículo </w:t>
            </w:r>
            <w:r w:rsidRPr="00837D4A">
              <w:rPr>
                <w:rFonts w:ascii="Verdana" w:hAnsi="Verdana"/>
                <w:sz w:val="16"/>
                <w:szCs w:val="16"/>
              </w:rPr>
              <w:t xml:space="preserve">76 de la Ley, están obligadas a utilizar </w:t>
            </w:r>
            <w:r w:rsidRPr="00837D4A">
              <w:rPr>
                <w:rFonts w:ascii="Verdana" w:hAnsi="Verdana"/>
                <w:sz w:val="16"/>
                <w:szCs w:val="16"/>
                <w:lang w:val="es"/>
              </w:rPr>
              <w:t>las herramientas digitales, tecnológicas, aplicaciones electrónicas que la Secretaría o la Comisión determinen en la Normatividad que emitan.</w:t>
            </w:r>
          </w:p>
        </w:tc>
        <w:tc>
          <w:tcPr>
            <w:tcW w:w="4649" w:type="dxa"/>
          </w:tcPr>
          <w:p w14:paraId="18E85A2B" w14:textId="2FD0E237" w:rsidR="009849AC" w:rsidRPr="00837D4A" w:rsidRDefault="009849AC" w:rsidP="009849AC">
            <w:pPr>
              <w:pStyle w:val="Texto"/>
              <w:spacing w:line="242" w:lineRule="exact"/>
              <w:ind w:firstLine="0"/>
              <w:rPr>
                <w:rFonts w:ascii="Verdana" w:hAnsi="Verdana"/>
                <w:sz w:val="16"/>
                <w:szCs w:val="16"/>
                <w:lang w:val="en-US"/>
              </w:rPr>
            </w:pPr>
            <w:r w:rsidRPr="00837D4A">
              <w:rPr>
                <w:rFonts w:ascii="Verdana" w:hAnsi="Verdana"/>
                <w:sz w:val="16"/>
                <w:szCs w:val="16"/>
                <w:lang w:val="en-US"/>
              </w:rPr>
              <w:t>Those holding permits for the activities established in Article 76 of the Law are required to use the digital, technological, and electronic application tools that the Secretary or the Commission determine in the legislation they issue.</w:t>
            </w:r>
          </w:p>
        </w:tc>
      </w:tr>
      <w:tr w:rsidR="009849AC" w:rsidRPr="002C0F16" w14:paraId="459AB052" w14:textId="24D7E81C" w:rsidTr="00F867DE">
        <w:tc>
          <w:tcPr>
            <w:tcW w:w="4711" w:type="dxa"/>
          </w:tcPr>
          <w:p w14:paraId="61B7072A"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Artículo 158.</w:t>
            </w:r>
            <w:r w:rsidRPr="00837D4A">
              <w:rPr>
                <w:rFonts w:ascii="Verdana" w:hAnsi="Verdana"/>
                <w:sz w:val="16"/>
                <w:szCs w:val="16"/>
              </w:rPr>
              <w:t xml:space="preserve"> Queda prohibido realizar cualquier mezcla de Hidrocarburos, Petrolíferos, biocombustibles o Petroquímicos que no esté prevista en la Normatividad aplicable, o cualquiera que se realice con Hidrocarburos, biocombustibles, Petrolíferos y Petroquímicos de procedencia ilícita.</w:t>
            </w:r>
          </w:p>
        </w:tc>
        <w:tc>
          <w:tcPr>
            <w:tcW w:w="4649" w:type="dxa"/>
          </w:tcPr>
          <w:p w14:paraId="09F02E67" w14:textId="4ED7A8C7"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158. </w:t>
            </w:r>
            <w:r w:rsidRPr="00837D4A">
              <w:rPr>
                <w:rFonts w:ascii="Verdana" w:hAnsi="Verdana"/>
                <w:sz w:val="16"/>
                <w:szCs w:val="16"/>
                <w:lang w:val="en-US"/>
              </w:rPr>
              <w:t>It is prohibited to carry out any mixture of hydrocarbons, petroleum products, biofuels or petrochemicals that is not provided for in the applicable legislation, or any that is carried out with hydrocarbons, biofuels, petroleum products and petrochemicals of illicit origin.</w:t>
            </w:r>
          </w:p>
        </w:tc>
      </w:tr>
      <w:tr w:rsidR="009849AC" w:rsidRPr="002C0F16" w14:paraId="5AC5832C" w14:textId="5E30C9AF" w:rsidTr="00F867DE">
        <w:tc>
          <w:tcPr>
            <w:tcW w:w="4711" w:type="dxa"/>
          </w:tcPr>
          <w:p w14:paraId="5A6B205D"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sz w:val="16"/>
                <w:szCs w:val="16"/>
              </w:rPr>
              <w:t>Adicional a lo anterior, la Secretaría o la Comisión, según corresponda, pueden emitir la Normatividad para el marcado o trazado de los productos.</w:t>
            </w:r>
          </w:p>
        </w:tc>
        <w:tc>
          <w:tcPr>
            <w:tcW w:w="4649" w:type="dxa"/>
          </w:tcPr>
          <w:p w14:paraId="10B6151F" w14:textId="12D1915D" w:rsidR="009849AC" w:rsidRPr="00837D4A" w:rsidRDefault="009849AC" w:rsidP="009849AC">
            <w:pPr>
              <w:pStyle w:val="Texto"/>
              <w:spacing w:line="242" w:lineRule="exact"/>
              <w:ind w:firstLine="0"/>
              <w:rPr>
                <w:rFonts w:ascii="Verdana" w:hAnsi="Verdana"/>
                <w:sz w:val="16"/>
                <w:szCs w:val="16"/>
                <w:lang w:val="en-US"/>
              </w:rPr>
            </w:pPr>
            <w:r w:rsidRPr="00837D4A">
              <w:rPr>
                <w:rFonts w:ascii="Verdana" w:hAnsi="Verdana"/>
                <w:sz w:val="16"/>
                <w:szCs w:val="16"/>
                <w:lang w:val="en-US"/>
              </w:rPr>
              <w:t>In addition to the above, the Secretary or the Commission, as appropriate, may issue legislation for the marking or tracing of products.</w:t>
            </w:r>
          </w:p>
        </w:tc>
      </w:tr>
      <w:tr w:rsidR="009849AC" w:rsidRPr="002C0F16" w14:paraId="2BFAA837" w14:textId="3454F1DF" w:rsidTr="00F867DE">
        <w:tc>
          <w:tcPr>
            <w:tcW w:w="4711" w:type="dxa"/>
          </w:tcPr>
          <w:p w14:paraId="664624B2"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sz w:val="16"/>
                <w:szCs w:val="16"/>
              </w:rPr>
              <w:t>Cuando la Secretaría o la Comisión tengan conocimiento por cualquier medio, de que existen operaciones con Hidrocarburos, Petrolíferos o Petroquímicos de procedencia ilícita o de alguno de los supuestos señalados en el artículo 79 de la Ley, deben ejercer las facultades de verificación y supervisión de las actividades reguladas e iniciar, en su caso, los procedimientos administrativos correspondientes.</w:t>
            </w:r>
          </w:p>
        </w:tc>
        <w:tc>
          <w:tcPr>
            <w:tcW w:w="4649" w:type="dxa"/>
          </w:tcPr>
          <w:p w14:paraId="39CFC6E9" w14:textId="602AE92C" w:rsidR="009849AC" w:rsidRPr="00837D4A" w:rsidRDefault="009849AC" w:rsidP="009849AC">
            <w:pPr>
              <w:pStyle w:val="Texto"/>
              <w:spacing w:line="242" w:lineRule="exact"/>
              <w:ind w:firstLine="0"/>
              <w:rPr>
                <w:rFonts w:ascii="Verdana" w:hAnsi="Verdana"/>
                <w:sz w:val="16"/>
                <w:szCs w:val="16"/>
                <w:lang w:val="en-US"/>
              </w:rPr>
            </w:pPr>
            <w:r w:rsidRPr="00837D4A">
              <w:rPr>
                <w:rFonts w:ascii="Verdana" w:hAnsi="Verdana"/>
                <w:sz w:val="16"/>
                <w:szCs w:val="16"/>
                <w:lang w:val="en-US"/>
              </w:rPr>
              <w:t>When the Secretary or the Commission becomes aware, through any means, of operations involving hydrocarbons, petroleum products, or petrochemicals of illicit origin, or of any of the circumstances outlined in Article 79 of the Law, they must exercise their powers of verification and supervision over the regulated activities and, where appropriate, initiate the corresponding administrative procedures.</w:t>
            </w:r>
          </w:p>
        </w:tc>
      </w:tr>
      <w:tr w:rsidR="009849AC" w:rsidRPr="002C0F16" w14:paraId="013DCB28" w14:textId="730EBCBF" w:rsidTr="00F867DE">
        <w:tc>
          <w:tcPr>
            <w:tcW w:w="4711" w:type="dxa"/>
          </w:tcPr>
          <w:p w14:paraId="4A1420DE"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sz w:val="16"/>
                <w:szCs w:val="16"/>
              </w:rPr>
              <w:t>Lo anterior con independencia de las denuncias y sanciones que procedan en materia penal, administrativa, civil o cualquier otra.</w:t>
            </w:r>
          </w:p>
        </w:tc>
        <w:tc>
          <w:tcPr>
            <w:tcW w:w="4649" w:type="dxa"/>
          </w:tcPr>
          <w:p w14:paraId="176BDF01" w14:textId="03CC7C5E" w:rsidR="009849AC" w:rsidRPr="00837D4A" w:rsidRDefault="009849AC" w:rsidP="009849AC">
            <w:pPr>
              <w:pStyle w:val="Texto"/>
              <w:spacing w:line="242" w:lineRule="exact"/>
              <w:ind w:firstLine="0"/>
              <w:rPr>
                <w:rFonts w:ascii="Verdana" w:hAnsi="Verdana"/>
                <w:sz w:val="16"/>
                <w:szCs w:val="16"/>
                <w:lang w:val="en-US"/>
              </w:rPr>
            </w:pPr>
            <w:r w:rsidRPr="00837D4A">
              <w:rPr>
                <w:rFonts w:ascii="Verdana" w:hAnsi="Verdana"/>
                <w:sz w:val="16"/>
                <w:szCs w:val="16"/>
                <w:lang w:val="en-US"/>
              </w:rPr>
              <w:t>The foregoing is independent of any complaints and sanctions that may be imposed in criminal, administrative, civil or any other matters.</w:t>
            </w:r>
          </w:p>
        </w:tc>
      </w:tr>
      <w:tr w:rsidR="009849AC" w:rsidRPr="002C0F16" w14:paraId="41B04D8B" w14:textId="2056E755" w:rsidTr="00F867DE">
        <w:tc>
          <w:tcPr>
            <w:tcW w:w="4711" w:type="dxa"/>
          </w:tcPr>
          <w:p w14:paraId="3AA75D3A"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Artículo 159. </w:t>
            </w:r>
            <w:r w:rsidRPr="00837D4A">
              <w:rPr>
                <w:rFonts w:ascii="Verdana" w:hAnsi="Verdana"/>
                <w:sz w:val="16"/>
                <w:szCs w:val="16"/>
              </w:rPr>
              <w:t>Las personas solicitantes y las personas Permisionarias están obligadas a comprobar y mantener la legítima propiedad o posesión del Sistema que pretenden utilizar o utilicen para realizar las actividades permisionadas, y deben identificarlos con los documentos o información que corresponda, en términos de la Normatividad aplicable.</w:t>
            </w:r>
          </w:p>
        </w:tc>
        <w:tc>
          <w:tcPr>
            <w:tcW w:w="4649" w:type="dxa"/>
          </w:tcPr>
          <w:p w14:paraId="40F563AC" w14:textId="375F2082"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159. </w:t>
            </w:r>
            <w:r w:rsidRPr="00837D4A">
              <w:rPr>
                <w:rFonts w:ascii="Verdana" w:hAnsi="Verdana"/>
                <w:sz w:val="16"/>
                <w:szCs w:val="16"/>
                <w:lang w:val="en-US"/>
              </w:rPr>
              <w:t>Applicants and Permit Holders are required to verify and maintain legitimate ownership or possession of the System they intend to use or use to carry out the permitted activities and must identify them with the corresponding documents or information, in accordance with the applicable legislation.</w:t>
            </w:r>
          </w:p>
        </w:tc>
      </w:tr>
      <w:tr w:rsidR="009849AC" w:rsidRPr="002C0F16" w14:paraId="23671753" w14:textId="20FD9561" w:rsidTr="00F867DE">
        <w:tc>
          <w:tcPr>
            <w:tcW w:w="4711" w:type="dxa"/>
          </w:tcPr>
          <w:p w14:paraId="239B99C6"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sz w:val="16"/>
                <w:szCs w:val="16"/>
              </w:rPr>
              <w:t>La Comisión o la Secretaría pueden solicitar la información sobre la propiedad o posesión legítima del Sistema a que se refiere el párrafo anterior en cualquier momento durante la vigencia del permiso. En caso de que la persona Permisionaria no acredite la legítima propiedad o posesión, se deben iniciar los procesos administrativos correspondientes.</w:t>
            </w:r>
          </w:p>
        </w:tc>
        <w:tc>
          <w:tcPr>
            <w:tcW w:w="4649" w:type="dxa"/>
          </w:tcPr>
          <w:p w14:paraId="3B586030" w14:textId="573AD928" w:rsidR="009849AC" w:rsidRPr="00837D4A" w:rsidRDefault="009849AC" w:rsidP="009849AC">
            <w:pPr>
              <w:pStyle w:val="Texto"/>
              <w:spacing w:line="242" w:lineRule="exact"/>
              <w:ind w:firstLine="0"/>
              <w:rPr>
                <w:rFonts w:ascii="Verdana" w:hAnsi="Verdana"/>
                <w:sz w:val="16"/>
                <w:szCs w:val="16"/>
                <w:lang w:val="en-US"/>
              </w:rPr>
            </w:pPr>
            <w:r w:rsidRPr="00837D4A">
              <w:rPr>
                <w:rFonts w:ascii="Verdana" w:hAnsi="Verdana"/>
                <w:sz w:val="16"/>
                <w:szCs w:val="16"/>
                <w:lang w:val="en-US"/>
              </w:rPr>
              <w:t>The Commission or the Secretary may request information regarding the ownership or legitimate possession of the System referred to in the preceding paragraph at any time during the validity of the permit. If the permit holder fails to prove legitimate ownership or possession, the corresponding administrative proceedings must be initiated.</w:t>
            </w:r>
          </w:p>
        </w:tc>
      </w:tr>
      <w:tr w:rsidR="009849AC" w:rsidRPr="002C0F16" w14:paraId="41DFFB94" w14:textId="486EE2E2" w:rsidTr="00F867DE">
        <w:tc>
          <w:tcPr>
            <w:tcW w:w="4711" w:type="dxa"/>
          </w:tcPr>
          <w:p w14:paraId="44F68F30"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Artículo 160.</w:t>
            </w:r>
            <w:r w:rsidRPr="00837D4A">
              <w:rPr>
                <w:rFonts w:ascii="Verdana" w:hAnsi="Verdana"/>
                <w:sz w:val="16"/>
                <w:szCs w:val="16"/>
              </w:rPr>
              <w:t xml:space="preserve"> La Secretaría y la Comisión, en el ámbito de sus respectivas competencias, pueden requerir la presentación de la información relacionada con las actividades permisionadas a través de medios electrónicos y tecnologías de la información, siempre y cuando las personas Permisionarias hayan manifestado </w:t>
            </w:r>
            <w:r w:rsidRPr="00837D4A">
              <w:rPr>
                <w:rFonts w:ascii="Verdana" w:hAnsi="Verdana"/>
                <w:sz w:val="16"/>
                <w:szCs w:val="16"/>
              </w:rPr>
              <w:lastRenderedPageBreak/>
              <w:t>expresamente su consentimiento para la utilización de dichos medios conforme a la Normatividad aplicable.</w:t>
            </w:r>
          </w:p>
        </w:tc>
        <w:tc>
          <w:tcPr>
            <w:tcW w:w="4649" w:type="dxa"/>
          </w:tcPr>
          <w:p w14:paraId="6102E2F3" w14:textId="39EC195F"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160. </w:t>
            </w:r>
            <w:r w:rsidRPr="00837D4A">
              <w:rPr>
                <w:rFonts w:ascii="Verdana" w:hAnsi="Verdana"/>
                <w:sz w:val="16"/>
                <w:szCs w:val="16"/>
                <w:lang w:val="en-US"/>
              </w:rPr>
              <w:t xml:space="preserve">The Secretary and the Commission, within the scope of their respective powers, may require the submission of information related to permitted activities through electronic means and information technologies, provided that the permit holders have </w:t>
            </w:r>
            <w:r w:rsidRPr="00837D4A">
              <w:rPr>
                <w:rFonts w:ascii="Verdana" w:hAnsi="Verdana"/>
                <w:sz w:val="16"/>
                <w:szCs w:val="16"/>
                <w:lang w:val="en-US"/>
              </w:rPr>
              <w:lastRenderedPageBreak/>
              <w:t>expressly expressed their consent for the use of such means in accordance with the applicable legislation.</w:t>
            </w:r>
          </w:p>
        </w:tc>
      </w:tr>
      <w:tr w:rsidR="009849AC" w:rsidRPr="002C0F16" w14:paraId="057FB98F" w14:textId="46C95EDE" w:rsidTr="00F867DE">
        <w:tc>
          <w:tcPr>
            <w:tcW w:w="4711" w:type="dxa"/>
          </w:tcPr>
          <w:p w14:paraId="48C3401F"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lastRenderedPageBreak/>
              <w:t xml:space="preserve">Artículo 161. </w:t>
            </w:r>
            <w:r w:rsidRPr="00837D4A">
              <w:rPr>
                <w:rFonts w:ascii="Verdana" w:hAnsi="Verdana"/>
                <w:sz w:val="16"/>
                <w:szCs w:val="16"/>
              </w:rPr>
              <w:t>Para efectos de lo establecido en el artículo 119, fracción XXI de la Ley, la Secretaría o la Comisión, según corresponda, pueden requerir a las personas Permisionarias, a través de los medios que se determinen para tal efecto, para que bajo protesta de decir verdad se responsabilicen de la información que proporcionen a dichas autoridades en cumplimiento de cualquier obligación, trámite o atención a requerimiento.</w:t>
            </w:r>
          </w:p>
        </w:tc>
        <w:tc>
          <w:tcPr>
            <w:tcW w:w="4649" w:type="dxa"/>
          </w:tcPr>
          <w:p w14:paraId="36493547" w14:textId="61F717D0"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161. </w:t>
            </w:r>
            <w:r w:rsidRPr="00837D4A">
              <w:rPr>
                <w:rFonts w:ascii="Verdana" w:hAnsi="Verdana"/>
                <w:sz w:val="16"/>
                <w:szCs w:val="16"/>
                <w:lang w:val="en-US"/>
              </w:rPr>
              <w:t>For the purposes of the provisions of Article 119, Section XXI of the Law, the Secretary or the Commission, as appropriate, may require Permit Holders, through the media determined for such purpose, to take responsibility under oath for the information they provide to said authorities in compliance with any obligation, procedure or response to a request.</w:t>
            </w:r>
          </w:p>
        </w:tc>
      </w:tr>
      <w:tr w:rsidR="009849AC" w:rsidRPr="00D0180E" w14:paraId="2D432E61" w14:textId="318DBB56" w:rsidTr="00F867DE">
        <w:tc>
          <w:tcPr>
            <w:tcW w:w="4711" w:type="dxa"/>
          </w:tcPr>
          <w:p w14:paraId="0FFE63B1" w14:textId="77777777" w:rsidR="009849AC" w:rsidRPr="00837D4A" w:rsidRDefault="009849AC" w:rsidP="009849AC">
            <w:pPr>
              <w:pStyle w:val="Texto"/>
              <w:spacing w:line="241" w:lineRule="exact"/>
              <w:ind w:firstLine="0"/>
              <w:jc w:val="center"/>
              <w:rPr>
                <w:rFonts w:ascii="Verdana" w:hAnsi="Verdana"/>
                <w:b/>
                <w:sz w:val="16"/>
                <w:szCs w:val="16"/>
              </w:rPr>
            </w:pPr>
            <w:r w:rsidRPr="00837D4A">
              <w:rPr>
                <w:rFonts w:ascii="Verdana" w:hAnsi="Verdana"/>
                <w:b/>
                <w:sz w:val="16"/>
                <w:szCs w:val="16"/>
              </w:rPr>
              <w:t>Capítulo VIII</w:t>
            </w:r>
          </w:p>
        </w:tc>
        <w:tc>
          <w:tcPr>
            <w:tcW w:w="4649" w:type="dxa"/>
          </w:tcPr>
          <w:p w14:paraId="2558A437" w14:textId="5CCDA0E9" w:rsidR="009849AC" w:rsidRPr="00837D4A" w:rsidRDefault="009849AC" w:rsidP="009849AC">
            <w:pPr>
              <w:pStyle w:val="Texto"/>
              <w:spacing w:line="241" w:lineRule="exact"/>
              <w:ind w:firstLine="0"/>
              <w:jc w:val="center"/>
              <w:rPr>
                <w:rFonts w:ascii="Verdana" w:hAnsi="Verdana"/>
                <w:b/>
                <w:sz w:val="16"/>
                <w:szCs w:val="16"/>
                <w:lang w:val="en-US"/>
              </w:rPr>
            </w:pPr>
            <w:r w:rsidRPr="00837D4A">
              <w:rPr>
                <w:rFonts w:ascii="Verdana" w:hAnsi="Verdana"/>
                <w:b/>
                <w:sz w:val="16"/>
                <w:szCs w:val="16"/>
                <w:lang w:val="en-US"/>
              </w:rPr>
              <w:t>Chapter VIII</w:t>
            </w:r>
          </w:p>
        </w:tc>
      </w:tr>
      <w:tr w:rsidR="009849AC" w:rsidRPr="00D0180E" w14:paraId="7944879E" w14:textId="54A0A0E1" w:rsidTr="00F867DE">
        <w:tc>
          <w:tcPr>
            <w:tcW w:w="4711" w:type="dxa"/>
          </w:tcPr>
          <w:p w14:paraId="0557181B" w14:textId="77777777" w:rsidR="009849AC" w:rsidRPr="00837D4A" w:rsidRDefault="009849AC" w:rsidP="009849AC">
            <w:pPr>
              <w:pStyle w:val="Texto"/>
              <w:spacing w:line="241" w:lineRule="exact"/>
              <w:ind w:firstLine="0"/>
              <w:jc w:val="center"/>
              <w:rPr>
                <w:rFonts w:ascii="Verdana" w:hAnsi="Verdana"/>
                <w:b/>
                <w:sz w:val="16"/>
                <w:szCs w:val="16"/>
              </w:rPr>
            </w:pPr>
            <w:r w:rsidRPr="00837D4A">
              <w:rPr>
                <w:rFonts w:ascii="Verdana" w:hAnsi="Verdana"/>
                <w:b/>
                <w:sz w:val="16"/>
                <w:szCs w:val="16"/>
              </w:rPr>
              <w:t>De los Sistemas Integrados</w:t>
            </w:r>
          </w:p>
        </w:tc>
        <w:tc>
          <w:tcPr>
            <w:tcW w:w="4649" w:type="dxa"/>
          </w:tcPr>
          <w:p w14:paraId="3148BBD8" w14:textId="5F597874" w:rsidR="009849AC" w:rsidRPr="00837D4A" w:rsidRDefault="009849AC" w:rsidP="009849AC">
            <w:pPr>
              <w:pStyle w:val="Texto"/>
              <w:spacing w:line="241" w:lineRule="exact"/>
              <w:ind w:firstLine="0"/>
              <w:jc w:val="center"/>
              <w:rPr>
                <w:rFonts w:ascii="Verdana" w:hAnsi="Verdana"/>
                <w:b/>
                <w:sz w:val="16"/>
                <w:szCs w:val="16"/>
                <w:lang w:val="en-US"/>
              </w:rPr>
            </w:pPr>
            <w:r w:rsidRPr="00837D4A">
              <w:rPr>
                <w:rFonts w:ascii="Verdana" w:hAnsi="Verdana"/>
                <w:b/>
                <w:sz w:val="16"/>
                <w:szCs w:val="16"/>
                <w:lang w:val="en-US"/>
              </w:rPr>
              <w:t>Integrated Systems</w:t>
            </w:r>
          </w:p>
        </w:tc>
      </w:tr>
      <w:tr w:rsidR="009849AC" w:rsidRPr="00D0180E" w14:paraId="6D14465A" w14:textId="4E5B1AB8" w:rsidTr="00F867DE">
        <w:tc>
          <w:tcPr>
            <w:tcW w:w="4711" w:type="dxa"/>
          </w:tcPr>
          <w:p w14:paraId="5513A0FF" w14:textId="77777777" w:rsidR="009849AC" w:rsidRPr="00837D4A" w:rsidRDefault="009849AC" w:rsidP="009849AC">
            <w:pPr>
              <w:pStyle w:val="Texto"/>
              <w:spacing w:line="241" w:lineRule="exact"/>
              <w:ind w:firstLine="0"/>
              <w:jc w:val="center"/>
              <w:rPr>
                <w:rFonts w:ascii="Verdana" w:hAnsi="Verdana"/>
                <w:b/>
                <w:sz w:val="16"/>
                <w:szCs w:val="16"/>
              </w:rPr>
            </w:pPr>
            <w:r w:rsidRPr="00837D4A">
              <w:rPr>
                <w:rFonts w:ascii="Verdana" w:hAnsi="Verdana"/>
                <w:b/>
                <w:sz w:val="16"/>
                <w:szCs w:val="16"/>
              </w:rPr>
              <w:t>Sección Primera</w:t>
            </w:r>
          </w:p>
        </w:tc>
        <w:tc>
          <w:tcPr>
            <w:tcW w:w="4649" w:type="dxa"/>
          </w:tcPr>
          <w:p w14:paraId="181CE91A" w14:textId="225775DD" w:rsidR="009849AC" w:rsidRPr="00837D4A" w:rsidRDefault="009849AC" w:rsidP="009849AC">
            <w:pPr>
              <w:pStyle w:val="Texto"/>
              <w:spacing w:line="241" w:lineRule="exact"/>
              <w:ind w:firstLine="0"/>
              <w:jc w:val="center"/>
              <w:rPr>
                <w:rFonts w:ascii="Verdana" w:hAnsi="Verdana"/>
                <w:b/>
                <w:sz w:val="16"/>
                <w:szCs w:val="16"/>
                <w:lang w:val="en-US"/>
              </w:rPr>
            </w:pPr>
            <w:r w:rsidRPr="00837D4A">
              <w:rPr>
                <w:rFonts w:ascii="Verdana" w:hAnsi="Verdana"/>
                <w:b/>
                <w:sz w:val="16"/>
                <w:szCs w:val="16"/>
                <w:lang w:val="en-US"/>
              </w:rPr>
              <w:t>First Section</w:t>
            </w:r>
          </w:p>
        </w:tc>
      </w:tr>
      <w:tr w:rsidR="009849AC" w:rsidRPr="002C0F16" w14:paraId="37CF76E3" w14:textId="28273F46" w:rsidTr="00F867DE">
        <w:tc>
          <w:tcPr>
            <w:tcW w:w="4711" w:type="dxa"/>
          </w:tcPr>
          <w:p w14:paraId="3DDBE43B" w14:textId="77777777" w:rsidR="009849AC" w:rsidRPr="00837D4A" w:rsidRDefault="009849AC" w:rsidP="009849AC">
            <w:pPr>
              <w:pStyle w:val="Texto"/>
              <w:spacing w:line="241" w:lineRule="exact"/>
              <w:ind w:firstLine="0"/>
              <w:jc w:val="center"/>
              <w:rPr>
                <w:rFonts w:ascii="Verdana" w:hAnsi="Verdana"/>
                <w:b/>
                <w:sz w:val="16"/>
                <w:szCs w:val="16"/>
              </w:rPr>
            </w:pPr>
            <w:r w:rsidRPr="00837D4A">
              <w:rPr>
                <w:rFonts w:ascii="Verdana" w:hAnsi="Verdana"/>
                <w:b/>
                <w:sz w:val="16"/>
                <w:szCs w:val="16"/>
              </w:rPr>
              <w:t>De la Creación de Sistemas Integrados</w:t>
            </w:r>
          </w:p>
        </w:tc>
        <w:tc>
          <w:tcPr>
            <w:tcW w:w="4649" w:type="dxa"/>
          </w:tcPr>
          <w:p w14:paraId="04B31615" w14:textId="066ED794" w:rsidR="009849AC" w:rsidRPr="00837D4A" w:rsidRDefault="009849AC" w:rsidP="009849AC">
            <w:pPr>
              <w:pStyle w:val="Texto"/>
              <w:spacing w:line="241" w:lineRule="exact"/>
              <w:ind w:firstLine="0"/>
              <w:jc w:val="center"/>
              <w:rPr>
                <w:rFonts w:ascii="Verdana" w:hAnsi="Verdana"/>
                <w:b/>
                <w:sz w:val="16"/>
                <w:szCs w:val="16"/>
                <w:lang w:val="en-US"/>
              </w:rPr>
            </w:pPr>
            <w:r w:rsidRPr="00837D4A">
              <w:rPr>
                <w:rFonts w:ascii="Verdana" w:hAnsi="Verdana"/>
                <w:b/>
                <w:sz w:val="16"/>
                <w:szCs w:val="16"/>
                <w:lang w:val="en-US"/>
              </w:rPr>
              <w:t>Creation of Integrated Systems</w:t>
            </w:r>
          </w:p>
        </w:tc>
      </w:tr>
      <w:tr w:rsidR="009849AC" w:rsidRPr="002C0F16" w14:paraId="759373D3" w14:textId="6562D933" w:rsidTr="00F867DE">
        <w:tc>
          <w:tcPr>
            <w:tcW w:w="4711" w:type="dxa"/>
          </w:tcPr>
          <w:p w14:paraId="2D10B8EF" w14:textId="77777777" w:rsidR="009849AC" w:rsidRPr="00837D4A" w:rsidRDefault="009849AC" w:rsidP="009849AC">
            <w:pPr>
              <w:pStyle w:val="Texto"/>
              <w:spacing w:line="241" w:lineRule="exact"/>
              <w:ind w:firstLine="0"/>
              <w:rPr>
                <w:rFonts w:ascii="Verdana" w:hAnsi="Verdana"/>
                <w:sz w:val="16"/>
                <w:szCs w:val="16"/>
              </w:rPr>
            </w:pPr>
            <w:r w:rsidRPr="00837D4A">
              <w:rPr>
                <w:rFonts w:ascii="Verdana" w:hAnsi="Verdana"/>
                <w:b/>
                <w:sz w:val="16"/>
                <w:szCs w:val="16"/>
              </w:rPr>
              <w:t>Artículo 162.</w:t>
            </w:r>
            <w:r w:rsidRPr="00837D4A">
              <w:rPr>
                <w:rFonts w:ascii="Verdana" w:hAnsi="Verdana"/>
                <w:sz w:val="16"/>
                <w:szCs w:val="16"/>
              </w:rPr>
              <w:t xml:space="preserve"> La Secretaría debe aprobar la creación, extensión, expansión y optimización de Sistemas Integrados, en términos de los artículos 94 y 95 de la Ley, de conformidad con la planeación vinculante en materia energética y la Normatividad que emita, en la cual se deben considerar como elementos mínimos los siguientes:</w:t>
            </w:r>
          </w:p>
        </w:tc>
        <w:tc>
          <w:tcPr>
            <w:tcW w:w="4649" w:type="dxa"/>
          </w:tcPr>
          <w:p w14:paraId="1C3374DD" w14:textId="3C037334"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Article 162. </w:t>
            </w:r>
            <w:r w:rsidRPr="00837D4A">
              <w:rPr>
                <w:rFonts w:ascii="Verdana" w:hAnsi="Verdana"/>
                <w:sz w:val="16"/>
                <w:szCs w:val="16"/>
                <w:lang w:val="en-US"/>
              </w:rPr>
              <w:t>The Secretary must approve the creation, extension, expansion and optimization of Integrated Systems, in terms of articles 94 and 95 of the Law, in accordance with the binding planning in energy matters and the legislation it issues, in which the following must be considered as minimum elements:</w:t>
            </w:r>
          </w:p>
        </w:tc>
      </w:tr>
      <w:tr w:rsidR="009849AC" w:rsidRPr="002C0F16" w14:paraId="127DC001" w14:textId="7D16F502" w:rsidTr="00F867DE">
        <w:tc>
          <w:tcPr>
            <w:tcW w:w="4711" w:type="dxa"/>
          </w:tcPr>
          <w:p w14:paraId="34CF5F0A"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Los efectos de cada una de las interconexiones entre los Sistemas de Transporte y de Almacenamiento que conforman el Sistema Integrado;</w:t>
            </w:r>
          </w:p>
        </w:tc>
        <w:tc>
          <w:tcPr>
            <w:tcW w:w="4649" w:type="dxa"/>
          </w:tcPr>
          <w:p w14:paraId="74C24CCD" w14:textId="79889782"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effects of each of the interconnections between the transportation and storage systems that make up the integrated system;</w:t>
            </w:r>
          </w:p>
        </w:tc>
      </w:tr>
      <w:tr w:rsidR="009849AC" w:rsidRPr="002C0F16" w14:paraId="712DCE6C" w14:textId="5D095712" w:rsidTr="00F867DE">
        <w:tc>
          <w:tcPr>
            <w:tcW w:w="4711" w:type="dxa"/>
          </w:tcPr>
          <w:p w14:paraId="7D3B90C5"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Los beneficios sistémicos en términos de mejoras en las condiciones de seguridad, continuidad, confiabilidad, calidad, redundancia y eficiencia;</w:t>
            </w:r>
          </w:p>
        </w:tc>
        <w:tc>
          <w:tcPr>
            <w:tcW w:w="4649" w:type="dxa"/>
          </w:tcPr>
          <w:p w14:paraId="4A5E3E75" w14:textId="01150824"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systemic benefits in terms of improvements in safety, continuity, reliability, quality, redundancy and efficiency conditions;</w:t>
            </w:r>
          </w:p>
        </w:tc>
      </w:tr>
      <w:tr w:rsidR="009849AC" w:rsidRPr="002C0F16" w14:paraId="29AD2C36" w14:textId="1C8EDE15" w:rsidTr="00F867DE">
        <w:tc>
          <w:tcPr>
            <w:tcW w:w="4711" w:type="dxa"/>
          </w:tcPr>
          <w:p w14:paraId="055504FE"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Los efectos para las personas Usuarias o Usuarias Finales derivados de las diferencias en asignación de costos entre enfoques incrementales o sistémicos;</w:t>
            </w:r>
          </w:p>
        </w:tc>
        <w:tc>
          <w:tcPr>
            <w:tcW w:w="4649" w:type="dxa"/>
          </w:tcPr>
          <w:p w14:paraId="2FEA7B5C" w14:textId="6A18EADF"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effects on users or end users arising from differences in cost Assignment between incremental or systemic approaches;</w:t>
            </w:r>
          </w:p>
        </w:tc>
      </w:tr>
      <w:tr w:rsidR="009849AC" w:rsidRPr="002C0F16" w14:paraId="72E25F75" w14:textId="518B46F2" w:rsidTr="00F867DE">
        <w:tc>
          <w:tcPr>
            <w:tcW w:w="4711" w:type="dxa"/>
          </w:tcPr>
          <w:p w14:paraId="7385E656"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confiabilidad, tamaño, capacidad y riesgos de disponibilidad de Hidrocarburos y Petrolíferos asociados a las fuentes de suministro accesibles mediante el Sistema;</w:t>
            </w:r>
          </w:p>
        </w:tc>
        <w:tc>
          <w:tcPr>
            <w:tcW w:w="4649" w:type="dxa"/>
          </w:tcPr>
          <w:p w14:paraId="672D998A" w14:textId="2D0F61AC"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reliability, size, capacity and availability risks of hydrocarbons and petroleum products associated with the supply sources accessible through the system;</w:t>
            </w:r>
          </w:p>
        </w:tc>
      </w:tr>
      <w:tr w:rsidR="009849AC" w:rsidRPr="002C0F16" w14:paraId="336E6392" w14:textId="5B6824FD" w:rsidTr="00F867DE">
        <w:tc>
          <w:tcPr>
            <w:tcW w:w="4711" w:type="dxa"/>
          </w:tcPr>
          <w:p w14:paraId="71751332"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w:t>
            </w:r>
            <w:r w:rsidRPr="00837D4A">
              <w:rPr>
                <w:rFonts w:ascii="Verdana" w:hAnsi="Verdana"/>
                <w:b/>
                <w:sz w:val="16"/>
                <w:szCs w:val="16"/>
              </w:rPr>
              <w:t xml:space="preserve"> </w:t>
            </w:r>
            <w:r w:rsidRPr="00837D4A">
              <w:rPr>
                <w:rFonts w:ascii="Verdana" w:hAnsi="Verdana"/>
                <w:sz w:val="16"/>
                <w:szCs w:val="16"/>
              </w:rPr>
              <w:t>viabilidad técnica y económica de largo plazo de los proyectos que conformen los Sistemas Integrados;</w:t>
            </w:r>
          </w:p>
        </w:tc>
        <w:tc>
          <w:tcPr>
            <w:tcW w:w="4649" w:type="dxa"/>
          </w:tcPr>
          <w:p w14:paraId="455FE04A" w14:textId="3F5859FB"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w:t>
            </w:r>
            <w:r w:rsidRPr="00837D4A">
              <w:rPr>
                <w:rFonts w:ascii="Verdana" w:hAnsi="Verdana"/>
                <w:b/>
                <w:sz w:val="16"/>
                <w:szCs w:val="16"/>
                <w:lang w:val="en-US"/>
              </w:rPr>
              <w:t xml:space="preserve"> </w:t>
            </w:r>
            <w:r w:rsidR="009E2B03">
              <w:rPr>
                <w:rFonts w:ascii="Verdana" w:hAnsi="Verdana"/>
                <w:sz w:val="16"/>
                <w:szCs w:val="16"/>
                <w:lang w:val="en-US"/>
              </w:rPr>
              <w:t>long term</w:t>
            </w:r>
            <w:r w:rsidRPr="00837D4A">
              <w:rPr>
                <w:rFonts w:ascii="Verdana" w:hAnsi="Verdana"/>
                <w:sz w:val="16"/>
                <w:szCs w:val="16"/>
                <w:lang w:val="en-US"/>
              </w:rPr>
              <w:t xml:space="preserve"> technical and economic viability of the projects that make up the Integrated Systems;</w:t>
            </w:r>
          </w:p>
        </w:tc>
      </w:tr>
      <w:tr w:rsidR="009849AC" w:rsidRPr="002C0F16" w14:paraId="58E37C2C" w14:textId="0A2C63AF" w:rsidTr="00F867DE">
        <w:tc>
          <w:tcPr>
            <w:tcW w:w="4711" w:type="dxa"/>
          </w:tcPr>
          <w:p w14:paraId="2CEE9C00"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 congruencia con la política pública en materia energética, y</w:t>
            </w:r>
          </w:p>
        </w:tc>
        <w:tc>
          <w:tcPr>
            <w:tcW w:w="4649" w:type="dxa"/>
          </w:tcPr>
          <w:p w14:paraId="63F8DA28" w14:textId="681164E6"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Consistency with public policy on energy matters, and</w:t>
            </w:r>
          </w:p>
        </w:tc>
      </w:tr>
      <w:tr w:rsidR="009849AC" w:rsidRPr="002C0F16" w14:paraId="173601CA" w14:textId="5CD62977" w:rsidTr="00F867DE">
        <w:tc>
          <w:tcPr>
            <w:tcW w:w="4711" w:type="dxa"/>
          </w:tcPr>
          <w:p w14:paraId="2A1F8B76"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Los cambios en el riesgo comercial que enfrentan los Sistemas al migrar de una operación independiente a una integrada.</w:t>
            </w:r>
          </w:p>
        </w:tc>
        <w:tc>
          <w:tcPr>
            <w:tcW w:w="4649" w:type="dxa"/>
          </w:tcPr>
          <w:p w14:paraId="1F019A84" w14:textId="6DBF8E8E"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Changes in business risk that systems face when migrating from a standalone to an integrated operation.</w:t>
            </w:r>
          </w:p>
        </w:tc>
      </w:tr>
      <w:tr w:rsidR="009849AC" w:rsidRPr="002C0F16" w14:paraId="34418DA0" w14:textId="1B917D17" w:rsidTr="00F867DE">
        <w:tc>
          <w:tcPr>
            <w:tcW w:w="4711" w:type="dxa"/>
          </w:tcPr>
          <w:p w14:paraId="0DEF66A5" w14:textId="77777777" w:rsidR="009849AC" w:rsidRPr="00837D4A" w:rsidRDefault="009849AC" w:rsidP="009849AC">
            <w:pPr>
              <w:pStyle w:val="Texto"/>
              <w:spacing w:line="241" w:lineRule="exact"/>
              <w:ind w:firstLine="0"/>
              <w:rPr>
                <w:rFonts w:ascii="Verdana" w:hAnsi="Verdana"/>
                <w:sz w:val="16"/>
                <w:szCs w:val="16"/>
              </w:rPr>
            </w:pPr>
            <w:r w:rsidRPr="00837D4A">
              <w:rPr>
                <w:rFonts w:ascii="Verdana" w:hAnsi="Verdana"/>
                <w:b/>
                <w:sz w:val="16"/>
                <w:szCs w:val="16"/>
              </w:rPr>
              <w:t>Artículo 163.</w:t>
            </w:r>
            <w:r w:rsidRPr="00837D4A">
              <w:rPr>
                <w:rFonts w:ascii="Verdana" w:hAnsi="Verdana"/>
                <w:sz w:val="16"/>
                <w:szCs w:val="16"/>
              </w:rPr>
              <w:t xml:space="preserve"> La integración de los Sistemas de Almacenamiento y Transporte particulares a Sistemas Integrados es de carácter voluntario. La Secretaría </w:t>
            </w:r>
            <w:r w:rsidRPr="00837D4A">
              <w:rPr>
                <w:rFonts w:ascii="Verdana" w:hAnsi="Verdana"/>
                <w:sz w:val="16"/>
                <w:szCs w:val="16"/>
              </w:rPr>
              <w:lastRenderedPageBreak/>
              <w:t>puede autorizar la desintegración de dichos Sistemas particulares cuando se dejen de cumplir los elementos señalados en el artículo anterior. En este caso, la desintegración de los Sistemas particulares se debe sujetar a los términos y condiciones que establezca la Secretaría y debe considerar los efectos que genere al Sistema Integrado.</w:t>
            </w:r>
          </w:p>
        </w:tc>
        <w:tc>
          <w:tcPr>
            <w:tcW w:w="4649" w:type="dxa"/>
          </w:tcPr>
          <w:p w14:paraId="3778AB9B" w14:textId="366D7DA8"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163. </w:t>
            </w:r>
            <w:r w:rsidRPr="00837D4A">
              <w:rPr>
                <w:rFonts w:ascii="Verdana" w:hAnsi="Verdana"/>
                <w:sz w:val="16"/>
                <w:szCs w:val="16"/>
                <w:lang w:val="en-US"/>
              </w:rPr>
              <w:t xml:space="preserve">The integration of individual storage and transportation systems into integrated systems is voluntary. The Secretary may authorize the </w:t>
            </w:r>
            <w:r w:rsidRPr="00837D4A">
              <w:rPr>
                <w:rFonts w:ascii="Verdana" w:hAnsi="Verdana"/>
                <w:sz w:val="16"/>
                <w:szCs w:val="16"/>
                <w:lang w:val="en-US"/>
              </w:rPr>
              <w:lastRenderedPageBreak/>
              <w:t>disintegration of said individual systems when the elements indicated in the preceding article are no longer met. In this case, the disintegration of individual systems must be subject to the terms and conditions established by the Secretary and must consider the effects it has on the integrated system.</w:t>
            </w:r>
          </w:p>
        </w:tc>
      </w:tr>
      <w:tr w:rsidR="009849AC" w:rsidRPr="002C0F16" w14:paraId="0E07F652" w14:textId="2B5C2164" w:rsidTr="00F867DE">
        <w:tc>
          <w:tcPr>
            <w:tcW w:w="4711" w:type="dxa"/>
          </w:tcPr>
          <w:p w14:paraId="51E30A1E" w14:textId="77777777" w:rsidR="009849AC" w:rsidRPr="00837D4A" w:rsidRDefault="009849AC" w:rsidP="009849AC">
            <w:pPr>
              <w:pStyle w:val="Texto"/>
              <w:spacing w:line="241" w:lineRule="exact"/>
              <w:ind w:firstLine="0"/>
              <w:rPr>
                <w:rFonts w:ascii="Verdana" w:hAnsi="Verdana"/>
                <w:sz w:val="16"/>
                <w:szCs w:val="16"/>
              </w:rPr>
            </w:pPr>
            <w:r w:rsidRPr="00837D4A">
              <w:rPr>
                <w:rFonts w:ascii="Verdana" w:hAnsi="Verdana"/>
                <w:b/>
                <w:sz w:val="16"/>
                <w:szCs w:val="16"/>
              </w:rPr>
              <w:lastRenderedPageBreak/>
              <w:t>Artículo 164.</w:t>
            </w:r>
            <w:r w:rsidRPr="00837D4A">
              <w:rPr>
                <w:rFonts w:ascii="Verdana" w:hAnsi="Verdana"/>
                <w:sz w:val="16"/>
                <w:szCs w:val="16"/>
              </w:rPr>
              <w:t xml:space="preserve"> Cada Sistema Integrado debe ser operado por un gestor en los términos de los artículos 96, 97 y 98 de la Ley.</w:t>
            </w:r>
          </w:p>
        </w:tc>
        <w:tc>
          <w:tcPr>
            <w:tcW w:w="4649" w:type="dxa"/>
          </w:tcPr>
          <w:p w14:paraId="0879C921" w14:textId="6FCF5EF1"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Article 164. </w:t>
            </w:r>
            <w:r w:rsidRPr="00837D4A">
              <w:rPr>
                <w:rFonts w:ascii="Verdana" w:hAnsi="Verdana"/>
                <w:sz w:val="16"/>
                <w:szCs w:val="16"/>
                <w:lang w:val="en-US"/>
              </w:rPr>
              <w:t>Each integrated system must be operated by a manager in accordance with Articles 96, 97 and 98 of the Law.</w:t>
            </w:r>
          </w:p>
        </w:tc>
      </w:tr>
      <w:tr w:rsidR="009849AC" w:rsidRPr="002C0F16" w14:paraId="17FE8CB9" w14:textId="4325BB9F" w:rsidTr="00F867DE">
        <w:tc>
          <w:tcPr>
            <w:tcW w:w="4711" w:type="dxa"/>
          </w:tcPr>
          <w:p w14:paraId="62815DF6" w14:textId="77777777" w:rsidR="009849AC" w:rsidRPr="00837D4A" w:rsidRDefault="009849AC" w:rsidP="009849AC">
            <w:pPr>
              <w:pStyle w:val="Texto"/>
              <w:spacing w:line="241" w:lineRule="exact"/>
              <w:ind w:firstLine="0"/>
              <w:rPr>
                <w:rFonts w:ascii="Verdana" w:hAnsi="Verdana"/>
                <w:sz w:val="16"/>
                <w:szCs w:val="16"/>
              </w:rPr>
            </w:pPr>
            <w:r w:rsidRPr="00837D4A">
              <w:rPr>
                <w:rFonts w:ascii="Verdana" w:hAnsi="Verdana"/>
                <w:sz w:val="16"/>
                <w:szCs w:val="16"/>
              </w:rPr>
              <w:t>Para el cumplimiento del objeto a que se refiere el artículo 96 de la Ley, los gestores tienen las funciones siguientes:</w:t>
            </w:r>
          </w:p>
        </w:tc>
        <w:tc>
          <w:tcPr>
            <w:tcW w:w="4649" w:type="dxa"/>
          </w:tcPr>
          <w:p w14:paraId="199BAB4A" w14:textId="42BDE7D4" w:rsidR="009849AC" w:rsidRPr="00837D4A" w:rsidRDefault="009849AC" w:rsidP="009849AC">
            <w:pPr>
              <w:pStyle w:val="Texto"/>
              <w:spacing w:line="241" w:lineRule="exact"/>
              <w:ind w:firstLine="0"/>
              <w:rPr>
                <w:rFonts w:ascii="Verdana" w:hAnsi="Verdana"/>
                <w:sz w:val="16"/>
                <w:szCs w:val="16"/>
                <w:lang w:val="en-US"/>
              </w:rPr>
            </w:pPr>
            <w:r w:rsidRPr="00837D4A">
              <w:rPr>
                <w:rFonts w:ascii="Verdana" w:hAnsi="Verdana"/>
                <w:sz w:val="16"/>
                <w:szCs w:val="16"/>
                <w:lang w:val="en-US"/>
              </w:rPr>
              <w:t>In order to fulfill the purpose referred to in Article 96 of the Law, the managers have the following functions:</w:t>
            </w:r>
          </w:p>
        </w:tc>
      </w:tr>
      <w:tr w:rsidR="009849AC" w:rsidRPr="002C0F16" w14:paraId="31C86B3B" w14:textId="0406F846" w:rsidTr="00F867DE">
        <w:tc>
          <w:tcPr>
            <w:tcW w:w="4711" w:type="dxa"/>
          </w:tcPr>
          <w:p w14:paraId="1B694D55"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Gestionar los actos jurídicos y demás acciones que resulten necesarias para que las personas Permisionarias lleven a cabo la prestación de los servicios en el Sistema Integrado;</w:t>
            </w:r>
          </w:p>
        </w:tc>
        <w:tc>
          <w:tcPr>
            <w:tcW w:w="4649" w:type="dxa"/>
          </w:tcPr>
          <w:p w14:paraId="1A6F465C" w14:textId="31A70594"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Manage the legal acts and other actions that are necessary for the permit holders to carry out the provision of services in the integrated system;</w:t>
            </w:r>
          </w:p>
        </w:tc>
      </w:tr>
      <w:tr w:rsidR="009849AC" w:rsidRPr="002C0F16" w14:paraId="08BCCB98" w14:textId="39EB025A" w:rsidTr="00F867DE">
        <w:tc>
          <w:tcPr>
            <w:tcW w:w="4711" w:type="dxa"/>
          </w:tcPr>
          <w:p w14:paraId="70C6767F"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Determinar los Trayectos, flujos operativos y volúmenes de los Hidrocarburos, Petrolíferos o Petroquímicos en el Sistema Integrado, de manera que se logre un uso óptimo del conjunto de instalaciones interconectadas;</w:t>
            </w:r>
          </w:p>
        </w:tc>
        <w:tc>
          <w:tcPr>
            <w:tcW w:w="4649" w:type="dxa"/>
          </w:tcPr>
          <w:p w14:paraId="07C602C0" w14:textId="0AE1863D"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Determine the routes, operational flows and volumes of hydrocarbons, petroleum products or petrochemicals in the Integrated System, so that optimal use of the set of interconnected facilities is achieved;</w:t>
            </w:r>
          </w:p>
        </w:tc>
      </w:tr>
      <w:tr w:rsidR="009849AC" w:rsidRPr="002C0F16" w14:paraId="6DF0B6F4" w14:textId="5264413D" w:rsidTr="00F867DE">
        <w:tc>
          <w:tcPr>
            <w:tcW w:w="4711" w:type="dxa"/>
          </w:tcPr>
          <w:p w14:paraId="4DDB3799"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Identificar las necesidades y proponer la incorporación de nueva infraestructura o ulteriores adecuaciones al Sistema Integrado y participar en los procesos de planeación correspondientes;</w:t>
            </w:r>
          </w:p>
        </w:tc>
        <w:tc>
          <w:tcPr>
            <w:tcW w:w="4649" w:type="dxa"/>
          </w:tcPr>
          <w:p w14:paraId="6B27918E" w14:textId="08E78231"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Identify the needs and propose the incorporation of new infrastructure or further adjustments to the Integrated System and participate in the corresponding planning processes;</w:t>
            </w:r>
          </w:p>
        </w:tc>
      </w:tr>
      <w:tr w:rsidR="009849AC" w:rsidRPr="002C0F16" w14:paraId="29E5A67A" w14:textId="6807F0F7" w:rsidTr="00F867DE">
        <w:tc>
          <w:tcPr>
            <w:tcW w:w="4711" w:type="dxa"/>
          </w:tcPr>
          <w:p w14:paraId="46A7AEB1"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Proponer, para aprobación de la Secretaría, previa opinión de la Comisión, las acciones requeridas para que el Sistema Integrado cuente con la capacidad de Almacenamiento necesaria para la operación eficiente del mercado de que se trate, y</w:t>
            </w:r>
          </w:p>
        </w:tc>
        <w:tc>
          <w:tcPr>
            <w:tcW w:w="4649" w:type="dxa"/>
          </w:tcPr>
          <w:p w14:paraId="13B421A7" w14:textId="2E00D7E6"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Propose, for the approval of the Secretary, and after receiving the opinion of the Commission, the actions required for the integrated system to have the storage capacity necessary for the efficient operation of the market in question, and</w:t>
            </w:r>
          </w:p>
        </w:tc>
      </w:tr>
      <w:tr w:rsidR="009849AC" w:rsidRPr="002C0F16" w14:paraId="5BC22F4D" w14:textId="007BC90E" w:rsidTr="00F867DE">
        <w:tc>
          <w:tcPr>
            <w:tcW w:w="4711" w:type="dxa"/>
          </w:tcPr>
          <w:p w14:paraId="6A30588E" w14:textId="77777777" w:rsidR="009849AC" w:rsidRPr="00837D4A" w:rsidRDefault="009849AC" w:rsidP="009849AC">
            <w:pPr>
              <w:pStyle w:val="Texto"/>
              <w:spacing w:line="241"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Llevar a cabo los procesos de compensación de ingresos a los Sistemas que formen parte del Sistema Integrado.</w:t>
            </w:r>
          </w:p>
        </w:tc>
        <w:tc>
          <w:tcPr>
            <w:tcW w:w="4649" w:type="dxa"/>
          </w:tcPr>
          <w:p w14:paraId="27DCD935" w14:textId="25044F67"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Carry out the income compensation processes for the systems that are part of the integrated system.</w:t>
            </w:r>
          </w:p>
        </w:tc>
      </w:tr>
      <w:tr w:rsidR="009849AC" w:rsidRPr="002C0F16" w14:paraId="0FA3C488" w14:textId="5E8585CB" w:rsidTr="00F867DE">
        <w:tc>
          <w:tcPr>
            <w:tcW w:w="4711" w:type="dxa"/>
          </w:tcPr>
          <w:p w14:paraId="439D9682" w14:textId="77777777" w:rsidR="009849AC" w:rsidRPr="00837D4A" w:rsidRDefault="009849AC" w:rsidP="009849AC">
            <w:pPr>
              <w:pStyle w:val="Texto"/>
              <w:spacing w:line="241" w:lineRule="exact"/>
              <w:ind w:firstLine="0"/>
              <w:rPr>
                <w:rFonts w:ascii="Verdana" w:hAnsi="Verdana"/>
                <w:sz w:val="16"/>
                <w:szCs w:val="16"/>
              </w:rPr>
            </w:pPr>
            <w:r w:rsidRPr="00837D4A">
              <w:rPr>
                <w:rFonts w:ascii="Verdana" w:hAnsi="Verdana"/>
                <w:b/>
                <w:sz w:val="16"/>
                <w:szCs w:val="16"/>
              </w:rPr>
              <w:t>Artículo 165.</w:t>
            </w:r>
            <w:r w:rsidRPr="00837D4A">
              <w:rPr>
                <w:rFonts w:ascii="Verdana" w:hAnsi="Verdana"/>
                <w:sz w:val="16"/>
                <w:szCs w:val="16"/>
              </w:rPr>
              <w:t xml:space="preserve"> Para efectos del artículo 97 de la Ley, para que el gestor sea una entidad pública, privada o público-privada en la que participen las personas Permisionarias que conformen el Sistema Integrado, esta debe constituirse como una sociedad mercantil en cuyo capital social participen, de manera igualitaria y con los mismos derechos societarios a fin de evitar los conflictos de interés a que se refiere dicho artículo.</w:t>
            </w:r>
          </w:p>
        </w:tc>
        <w:tc>
          <w:tcPr>
            <w:tcW w:w="4649" w:type="dxa"/>
          </w:tcPr>
          <w:p w14:paraId="436AA349" w14:textId="38F0B7FF" w:rsidR="009849AC" w:rsidRPr="00837D4A" w:rsidRDefault="009849AC" w:rsidP="009849AC">
            <w:pPr>
              <w:pStyle w:val="Texto"/>
              <w:spacing w:line="241" w:lineRule="exact"/>
              <w:ind w:firstLine="0"/>
              <w:rPr>
                <w:rFonts w:ascii="Verdana" w:hAnsi="Verdana"/>
                <w:b/>
                <w:sz w:val="16"/>
                <w:szCs w:val="16"/>
                <w:lang w:val="en-US"/>
              </w:rPr>
            </w:pPr>
            <w:r w:rsidRPr="00837D4A">
              <w:rPr>
                <w:rFonts w:ascii="Verdana" w:hAnsi="Verdana"/>
                <w:b/>
                <w:sz w:val="16"/>
                <w:szCs w:val="16"/>
                <w:lang w:val="en-US"/>
              </w:rPr>
              <w:t xml:space="preserve">Article 165. </w:t>
            </w:r>
            <w:r w:rsidRPr="00837D4A">
              <w:rPr>
                <w:rFonts w:ascii="Verdana" w:hAnsi="Verdana"/>
                <w:sz w:val="16"/>
                <w:szCs w:val="16"/>
                <w:lang w:val="en-US"/>
              </w:rPr>
              <w:t>For the purposes of Article 97 of the Law, for the manager to be a public, private or public-private entity in which the permit holders that make up the integrated system participate, it must be established as a commercial company in whose share capital they participate equally and with the same corporate rights in order to avoid the conflicts of interest referred to in said article.</w:t>
            </w:r>
          </w:p>
        </w:tc>
      </w:tr>
      <w:tr w:rsidR="009849AC" w:rsidRPr="002C0F16" w14:paraId="4D9B936F" w14:textId="6D070447" w:rsidTr="00F867DE">
        <w:tc>
          <w:tcPr>
            <w:tcW w:w="4711" w:type="dxa"/>
          </w:tcPr>
          <w:p w14:paraId="18B75DF1"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Artículo 166.</w:t>
            </w:r>
            <w:r w:rsidRPr="00837D4A">
              <w:rPr>
                <w:rFonts w:ascii="Verdana" w:hAnsi="Verdana"/>
                <w:sz w:val="16"/>
                <w:szCs w:val="16"/>
              </w:rPr>
              <w:t xml:space="preserve"> La Comisión, previa opinión de la Secretaría, puede expedir, a propuesta de los gestores de los Sistemas Integrados, la metodología tarifaria por sus funciones de gestión.</w:t>
            </w:r>
          </w:p>
        </w:tc>
        <w:tc>
          <w:tcPr>
            <w:tcW w:w="4649" w:type="dxa"/>
          </w:tcPr>
          <w:p w14:paraId="413C130D" w14:textId="07996850"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Article 166. </w:t>
            </w:r>
            <w:r w:rsidRPr="00837D4A">
              <w:rPr>
                <w:rFonts w:ascii="Verdana" w:hAnsi="Verdana"/>
                <w:sz w:val="16"/>
                <w:szCs w:val="16"/>
                <w:lang w:val="en-US"/>
              </w:rPr>
              <w:t>The Commission, after receiving the opinion of the Secretary, may issue, at the proposal of the managers of the integrated systems, the tariff methodology for its management functions.</w:t>
            </w:r>
          </w:p>
        </w:tc>
      </w:tr>
      <w:tr w:rsidR="009849AC" w:rsidRPr="002C0F16" w14:paraId="4BBC40FE" w14:textId="38B3ABEB" w:rsidTr="00F867DE">
        <w:tc>
          <w:tcPr>
            <w:tcW w:w="4711" w:type="dxa"/>
          </w:tcPr>
          <w:p w14:paraId="6473DB98"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sz w:val="16"/>
                <w:szCs w:val="16"/>
              </w:rPr>
              <w:t>La tarifa de gestión se debe integrar a las tarifas correspondientes que sean aplicables a la prestación de los servicios en cada Sistema Integrado.</w:t>
            </w:r>
          </w:p>
        </w:tc>
        <w:tc>
          <w:tcPr>
            <w:tcW w:w="4649" w:type="dxa"/>
          </w:tcPr>
          <w:p w14:paraId="5FD73A2D" w14:textId="57405B36" w:rsidR="009849AC" w:rsidRPr="00837D4A" w:rsidRDefault="009849AC" w:rsidP="009849AC">
            <w:pPr>
              <w:pStyle w:val="Texto"/>
              <w:spacing w:line="219" w:lineRule="exact"/>
              <w:ind w:firstLine="0"/>
              <w:rPr>
                <w:rFonts w:ascii="Verdana" w:hAnsi="Verdana"/>
                <w:sz w:val="16"/>
                <w:szCs w:val="16"/>
                <w:lang w:val="en-US"/>
              </w:rPr>
            </w:pPr>
            <w:r w:rsidRPr="00837D4A">
              <w:rPr>
                <w:rFonts w:ascii="Verdana" w:hAnsi="Verdana"/>
                <w:sz w:val="16"/>
                <w:szCs w:val="16"/>
                <w:lang w:val="en-US"/>
              </w:rPr>
              <w:t>The management fee must be integrated into the corresponding fees applicable to the provision of services in each Integrated System.</w:t>
            </w:r>
          </w:p>
        </w:tc>
      </w:tr>
      <w:tr w:rsidR="009849AC" w:rsidRPr="002C0F16" w14:paraId="3C6BD6F1" w14:textId="5EDFA816" w:rsidTr="00F867DE">
        <w:tc>
          <w:tcPr>
            <w:tcW w:w="4711" w:type="dxa"/>
          </w:tcPr>
          <w:p w14:paraId="101623E6"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sz w:val="16"/>
                <w:szCs w:val="16"/>
              </w:rPr>
              <w:lastRenderedPageBreak/>
              <w:t>Asimismo, la metodología tarifaria debe considerar los costos eficientes por las actividades de gestión, así como la obtención de una rentabilidad razonable que refleje el costo de oportunidad del capital que, en su caso, deba invertir el gestor, y el costo estimado de financiamiento.</w:t>
            </w:r>
          </w:p>
        </w:tc>
        <w:tc>
          <w:tcPr>
            <w:tcW w:w="4649" w:type="dxa"/>
          </w:tcPr>
          <w:p w14:paraId="454048BB" w14:textId="5AF7FE0F" w:rsidR="009849AC" w:rsidRPr="00837D4A" w:rsidRDefault="009849AC" w:rsidP="009849AC">
            <w:pPr>
              <w:pStyle w:val="Texto"/>
              <w:spacing w:line="219" w:lineRule="exact"/>
              <w:ind w:firstLine="0"/>
              <w:rPr>
                <w:rFonts w:ascii="Verdana" w:hAnsi="Verdana"/>
                <w:sz w:val="16"/>
                <w:szCs w:val="16"/>
                <w:lang w:val="en-US"/>
              </w:rPr>
            </w:pPr>
            <w:r w:rsidRPr="00837D4A">
              <w:rPr>
                <w:rFonts w:ascii="Verdana" w:hAnsi="Verdana"/>
                <w:sz w:val="16"/>
                <w:szCs w:val="16"/>
                <w:lang w:val="en-US"/>
              </w:rPr>
              <w:t>Likewise, the pricing methodology must consider efficient costs for management activities, as well as a reasonable return that reflects the opportunity cost of the capital that the manager must invest, if any, and the estimated cost of financing.</w:t>
            </w:r>
          </w:p>
        </w:tc>
      </w:tr>
      <w:tr w:rsidR="009849AC" w:rsidRPr="002C0F16" w14:paraId="77ABB555" w14:textId="4E33079F" w:rsidTr="00F867DE">
        <w:tc>
          <w:tcPr>
            <w:tcW w:w="4711" w:type="dxa"/>
          </w:tcPr>
          <w:p w14:paraId="1021B1B9"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sz w:val="16"/>
                <w:szCs w:val="16"/>
              </w:rPr>
              <w:t>Sin perjuicio de lo anterior, la Comisión puede emitir la Normatividad de los Sistemas Integrados e incluir los criterios a los que deben sujetarse la recuperación de costos e inversiones de los gestores mediante el cobro de tarifas de gestión.</w:t>
            </w:r>
          </w:p>
        </w:tc>
        <w:tc>
          <w:tcPr>
            <w:tcW w:w="4649" w:type="dxa"/>
          </w:tcPr>
          <w:p w14:paraId="16B848DD" w14:textId="59F2BC71" w:rsidR="009849AC" w:rsidRPr="00837D4A" w:rsidRDefault="009849AC" w:rsidP="009849AC">
            <w:pPr>
              <w:pStyle w:val="Texto"/>
              <w:spacing w:line="219" w:lineRule="exact"/>
              <w:ind w:firstLine="0"/>
              <w:rPr>
                <w:rFonts w:ascii="Verdana" w:hAnsi="Verdana"/>
                <w:sz w:val="16"/>
                <w:szCs w:val="16"/>
                <w:lang w:val="en-US"/>
              </w:rPr>
            </w:pPr>
            <w:r w:rsidRPr="00837D4A">
              <w:rPr>
                <w:rFonts w:ascii="Verdana" w:hAnsi="Verdana"/>
                <w:sz w:val="16"/>
                <w:szCs w:val="16"/>
                <w:lang w:val="en-US"/>
              </w:rPr>
              <w:t>Without prejudice to the foregoing, the Commission may issue the integrated systems legislation and include the criteria governing the recovery of costs and investments from managers through the collection of management fees.</w:t>
            </w:r>
          </w:p>
        </w:tc>
      </w:tr>
      <w:tr w:rsidR="009849AC" w:rsidRPr="002C0F16" w14:paraId="0C5C8C9F" w14:textId="36D0018E" w:rsidTr="00F867DE">
        <w:tc>
          <w:tcPr>
            <w:tcW w:w="4711" w:type="dxa"/>
          </w:tcPr>
          <w:p w14:paraId="115887C0"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Artículo 167.</w:t>
            </w:r>
            <w:r w:rsidRPr="00837D4A">
              <w:rPr>
                <w:rFonts w:ascii="Verdana" w:hAnsi="Verdana"/>
                <w:sz w:val="16"/>
                <w:szCs w:val="16"/>
              </w:rPr>
              <w:t xml:space="preserve"> La Comisión debe emitir la Normatividad necesaria para que los gestores se desempeñen, en su caso, bajo una estricta separación funcional respecto de sus actividades de gestor de los Sistemas Integrados y de personas Permisionarias de Transporte y Almacenamiento. Para tal efecto, la Comisión debe prever que los gestores incorporen las estructuras funcionales independientes necesarias para realizar sus actividades antes señaladas en forma independiente una de la otra.</w:t>
            </w:r>
          </w:p>
        </w:tc>
        <w:tc>
          <w:tcPr>
            <w:tcW w:w="4649" w:type="dxa"/>
          </w:tcPr>
          <w:p w14:paraId="64D8720F" w14:textId="4D40BE0E"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Article 167. </w:t>
            </w:r>
            <w:r w:rsidRPr="00837D4A">
              <w:rPr>
                <w:rFonts w:ascii="Verdana" w:hAnsi="Verdana"/>
                <w:sz w:val="16"/>
                <w:szCs w:val="16"/>
                <w:lang w:val="en-US"/>
              </w:rPr>
              <w:t>The Commission must issue the necessary legislation so that managers can operate, where applicable, under strict functional separation between their activities as managers of integrated systems and as transportation and storage permit holders. To this purpose, the Commission must ensure that managers incorporate the necessary independent functional structures to carry out their aforementioned activities independently of one another.</w:t>
            </w:r>
          </w:p>
        </w:tc>
      </w:tr>
      <w:tr w:rsidR="009849AC" w:rsidRPr="002C0F16" w14:paraId="602B842A" w14:textId="5E9CA29B" w:rsidTr="00F867DE">
        <w:tc>
          <w:tcPr>
            <w:tcW w:w="4711" w:type="dxa"/>
          </w:tcPr>
          <w:p w14:paraId="558B6842"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sz w:val="16"/>
                <w:szCs w:val="16"/>
              </w:rPr>
              <w:t>Las reglas de operación de los gestores a que se refiere el artículo 98 de la Ley, deben incluir la existencia de comités consultivos en los que participen representantes de las diferentes actividades de la Industria de Hidrocarburos, así como personas Usuarias y Usuarias Finales.</w:t>
            </w:r>
          </w:p>
        </w:tc>
        <w:tc>
          <w:tcPr>
            <w:tcW w:w="4649" w:type="dxa"/>
          </w:tcPr>
          <w:p w14:paraId="3A17097F" w14:textId="5C74BB7A" w:rsidR="009849AC" w:rsidRPr="00837D4A" w:rsidRDefault="009849AC" w:rsidP="009849AC">
            <w:pPr>
              <w:pStyle w:val="Texto"/>
              <w:spacing w:line="219" w:lineRule="exact"/>
              <w:ind w:firstLine="0"/>
              <w:rPr>
                <w:rFonts w:ascii="Verdana" w:hAnsi="Verdana"/>
                <w:sz w:val="16"/>
                <w:szCs w:val="16"/>
                <w:lang w:val="en-US"/>
              </w:rPr>
            </w:pPr>
            <w:r w:rsidRPr="00837D4A">
              <w:rPr>
                <w:rFonts w:ascii="Verdana" w:hAnsi="Verdana"/>
                <w:sz w:val="16"/>
                <w:szCs w:val="16"/>
                <w:lang w:val="en-US"/>
              </w:rPr>
              <w:t>The operating rules for the managers referred to in Article 98 of the Law must include the existence of advisory committees with the participation of representatives from the various activities of the hydrocarbon industry, as well as users and end users.</w:t>
            </w:r>
          </w:p>
        </w:tc>
      </w:tr>
      <w:tr w:rsidR="009849AC" w:rsidRPr="00D0180E" w14:paraId="6BADD160" w14:textId="20D42A46" w:rsidTr="00F867DE">
        <w:tc>
          <w:tcPr>
            <w:tcW w:w="4711" w:type="dxa"/>
          </w:tcPr>
          <w:p w14:paraId="007A3772" w14:textId="77777777" w:rsidR="009849AC" w:rsidRPr="00837D4A" w:rsidRDefault="009849AC" w:rsidP="009849AC">
            <w:pPr>
              <w:pStyle w:val="Texto"/>
              <w:spacing w:line="219" w:lineRule="exact"/>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066690CE" w14:textId="1A03B548" w:rsidR="009849AC" w:rsidRPr="00837D4A" w:rsidRDefault="009849AC" w:rsidP="009849AC">
            <w:pPr>
              <w:pStyle w:val="Texto"/>
              <w:spacing w:line="219" w:lineRule="exact"/>
              <w:ind w:firstLine="0"/>
              <w:jc w:val="center"/>
              <w:rPr>
                <w:rFonts w:ascii="Verdana" w:hAnsi="Verdana"/>
                <w:b/>
                <w:sz w:val="16"/>
                <w:szCs w:val="16"/>
                <w:lang w:val="en-US"/>
              </w:rPr>
            </w:pPr>
            <w:proofErr w:type="spellStart"/>
            <w:r w:rsidRPr="00837D4A">
              <w:rPr>
                <w:rFonts w:ascii="Verdana" w:hAnsi="Verdana"/>
                <w:b/>
                <w:sz w:val="16"/>
                <w:szCs w:val="16"/>
              </w:rPr>
              <w:t>Second</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C0F16" w14:paraId="4F812EBF" w14:textId="27CDEC5B" w:rsidTr="00F867DE">
        <w:tc>
          <w:tcPr>
            <w:tcW w:w="4711" w:type="dxa"/>
          </w:tcPr>
          <w:p w14:paraId="06463C3A" w14:textId="77777777" w:rsidR="009849AC" w:rsidRPr="00837D4A" w:rsidRDefault="009849AC" w:rsidP="009849AC">
            <w:pPr>
              <w:pStyle w:val="Texto"/>
              <w:spacing w:line="219" w:lineRule="exact"/>
              <w:ind w:firstLine="0"/>
              <w:jc w:val="center"/>
              <w:rPr>
                <w:rFonts w:ascii="Verdana" w:hAnsi="Verdana"/>
                <w:b/>
                <w:sz w:val="16"/>
                <w:szCs w:val="16"/>
              </w:rPr>
            </w:pPr>
            <w:r w:rsidRPr="00837D4A">
              <w:rPr>
                <w:rFonts w:ascii="Verdana" w:hAnsi="Verdana"/>
                <w:b/>
                <w:sz w:val="16"/>
                <w:szCs w:val="16"/>
              </w:rPr>
              <w:t>De los Planes Quinquenales de Expansión y Optimización de la Infraestructura de Transporte por medio de Ductos y Almacenamiento, y de Expansión del Sistema de Transporte y Almacenamiento Nacional Integrado de Gas Natural</w:t>
            </w:r>
          </w:p>
        </w:tc>
        <w:tc>
          <w:tcPr>
            <w:tcW w:w="4649" w:type="dxa"/>
          </w:tcPr>
          <w:p w14:paraId="21F11768" w14:textId="05491F8D" w:rsidR="009849AC" w:rsidRPr="00837D4A" w:rsidRDefault="009849AC" w:rsidP="009849AC">
            <w:pPr>
              <w:pStyle w:val="Texto"/>
              <w:spacing w:line="219" w:lineRule="exact"/>
              <w:ind w:firstLine="0"/>
              <w:jc w:val="center"/>
              <w:rPr>
                <w:rFonts w:ascii="Verdana" w:hAnsi="Verdana"/>
                <w:b/>
                <w:sz w:val="16"/>
                <w:szCs w:val="16"/>
                <w:lang w:val="en-US"/>
              </w:rPr>
            </w:pPr>
            <w:r w:rsidRPr="00837D4A">
              <w:rPr>
                <w:rFonts w:ascii="Verdana" w:hAnsi="Verdana"/>
                <w:b/>
                <w:sz w:val="16"/>
                <w:szCs w:val="16"/>
                <w:lang w:val="en-US"/>
              </w:rPr>
              <w:t>Five-Year Plans for the Expansion and Optimization of Transportation Infrastructure through Pipelines and Storage, and for the Expansion of the National Integrated Transportation and Storage System of Natural Gas</w:t>
            </w:r>
          </w:p>
        </w:tc>
      </w:tr>
      <w:tr w:rsidR="009849AC" w:rsidRPr="002C0F16" w14:paraId="40F5196C" w14:textId="391BBB09" w:rsidTr="00F867DE">
        <w:tc>
          <w:tcPr>
            <w:tcW w:w="4711" w:type="dxa"/>
          </w:tcPr>
          <w:p w14:paraId="29EB3FA3"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Artículo 168.</w:t>
            </w:r>
            <w:r w:rsidRPr="00837D4A">
              <w:rPr>
                <w:rFonts w:ascii="Verdana" w:hAnsi="Verdana"/>
                <w:sz w:val="16"/>
                <w:szCs w:val="16"/>
              </w:rPr>
              <w:t xml:space="preserve"> Durante el mes de abril del primer año de cada quinquenio, los gestores de los Sistemas Integrados deben proponer a la Secretaría los planes quinquenales de expansión y optimización de la infraestructura de Transporte por medio de Ductos y Almacenamiento, así como de expansión del Sistema de Transporte y Almacenamiento Nacional Integrado de Gas Natural.</w:t>
            </w:r>
          </w:p>
        </w:tc>
        <w:tc>
          <w:tcPr>
            <w:tcW w:w="4649" w:type="dxa"/>
          </w:tcPr>
          <w:p w14:paraId="77E32255" w14:textId="01C101C6"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Article 168. </w:t>
            </w:r>
            <w:r w:rsidRPr="00837D4A">
              <w:rPr>
                <w:rFonts w:ascii="Verdana" w:hAnsi="Verdana"/>
                <w:sz w:val="16"/>
                <w:szCs w:val="16"/>
                <w:lang w:val="en-US"/>
              </w:rPr>
              <w:t>During the month of April of the first year of each five-year period, the managers of the Integrated Systems must propose to the Secretary the five-year plans for the expansion and optimization of the Transportation infrastructure through Pipelines and Storage, as well as for the expansion of the national integrated transportation and storage system of natural gas.</w:t>
            </w:r>
          </w:p>
        </w:tc>
      </w:tr>
      <w:tr w:rsidR="009849AC" w:rsidRPr="002C0F16" w14:paraId="5BC11423" w14:textId="5FA8FD74" w:rsidTr="00F867DE">
        <w:tc>
          <w:tcPr>
            <w:tcW w:w="4711" w:type="dxa"/>
          </w:tcPr>
          <w:p w14:paraId="15DD0979"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sz w:val="16"/>
                <w:szCs w:val="16"/>
              </w:rPr>
              <w:t>Para efectos de la aprobación y emisión de dichos planes quinquenales que propongan los gestores de Sistemas Integrados, la Secretaría debe resolver lo conducente de conformidad con el siguiente procedimiento:</w:t>
            </w:r>
          </w:p>
        </w:tc>
        <w:tc>
          <w:tcPr>
            <w:tcW w:w="4649" w:type="dxa"/>
          </w:tcPr>
          <w:p w14:paraId="71103E9A" w14:textId="61F2C72B" w:rsidR="009849AC" w:rsidRPr="00837D4A" w:rsidRDefault="009849AC" w:rsidP="009849AC">
            <w:pPr>
              <w:pStyle w:val="Texto"/>
              <w:spacing w:line="219" w:lineRule="exact"/>
              <w:ind w:firstLine="0"/>
              <w:rPr>
                <w:rFonts w:ascii="Verdana" w:hAnsi="Verdana"/>
                <w:sz w:val="16"/>
                <w:szCs w:val="16"/>
                <w:lang w:val="en-US"/>
              </w:rPr>
            </w:pPr>
            <w:r w:rsidRPr="00837D4A">
              <w:rPr>
                <w:rFonts w:ascii="Verdana" w:hAnsi="Verdana"/>
                <w:sz w:val="16"/>
                <w:szCs w:val="16"/>
                <w:lang w:val="en-US"/>
              </w:rPr>
              <w:t>For the purposes of approving and issuing the five-year plans proposed by the integrated systems managers, the Secretary must make the appropriate decisions in accordance with the following procedure:</w:t>
            </w:r>
          </w:p>
        </w:tc>
      </w:tr>
      <w:tr w:rsidR="009849AC" w:rsidRPr="002C0F16" w14:paraId="25AC8236" w14:textId="173E96A1" w:rsidTr="00F867DE">
        <w:tc>
          <w:tcPr>
            <w:tcW w:w="4711" w:type="dxa"/>
          </w:tcPr>
          <w:p w14:paraId="192E70DD"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El gestor de que se trate debe presentar a la Secretaría su propuesta de plan quinquenal;</w:t>
            </w:r>
          </w:p>
        </w:tc>
        <w:tc>
          <w:tcPr>
            <w:tcW w:w="4649" w:type="dxa"/>
          </w:tcPr>
          <w:p w14:paraId="57255B8E" w14:textId="245EA43F"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manager concerned must submit to the Secretary his proposal for a five-year plan;</w:t>
            </w:r>
          </w:p>
        </w:tc>
      </w:tr>
      <w:tr w:rsidR="009849AC" w:rsidRPr="002C0F16" w14:paraId="7B36E152" w14:textId="4F3631D9" w:rsidTr="00F867DE">
        <w:tc>
          <w:tcPr>
            <w:tcW w:w="4711" w:type="dxa"/>
          </w:tcPr>
          <w:p w14:paraId="660C26BC"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Cuando se trate del plan quinquenal de expansión del Sistema de Transporte y Almacenamiento Nacional Integrado de Gas Natural, la Secretaría puede determinar conforme a lo establecido en el artículo 169 de este reglamento, los proyectos que se consideren como estratégicos y, en su caso, aquellos como de cobertura social;</w:t>
            </w:r>
          </w:p>
        </w:tc>
        <w:tc>
          <w:tcPr>
            <w:tcW w:w="4649" w:type="dxa"/>
          </w:tcPr>
          <w:p w14:paraId="6D2334CF" w14:textId="6DFF6530"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In the case of the five-year expansion plan of the national integrated natural gas transportation and storage system, the Secretary may determine, in accordance with the provisions of Article 169 of this regulation, the projects that are considered strategic and, where applicable, those with social coverage;</w:t>
            </w:r>
          </w:p>
        </w:tc>
      </w:tr>
      <w:tr w:rsidR="009849AC" w:rsidRPr="002C0F16" w14:paraId="5404C043" w14:textId="7AADE760" w:rsidTr="00F867DE">
        <w:tc>
          <w:tcPr>
            <w:tcW w:w="4711" w:type="dxa"/>
          </w:tcPr>
          <w:p w14:paraId="036EFDA1" w14:textId="77777777" w:rsidR="009849AC" w:rsidRPr="00837D4A" w:rsidRDefault="009849AC" w:rsidP="009849AC">
            <w:pPr>
              <w:pStyle w:val="Texto"/>
              <w:spacing w:line="219" w:lineRule="exact"/>
              <w:ind w:firstLine="0"/>
              <w:rPr>
                <w:rFonts w:ascii="Verdana" w:hAnsi="Verdana"/>
                <w:b/>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La</w:t>
            </w:r>
            <w:r w:rsidRPr="00837D4A">
              <w:rPr>
                <w:rFonts w:ascii="Verdana" w:hAnsi="Verdana"/>
                <w:b/>
                <w:sz w:val="16"/>
                <w:szCs w:val="16"/>
              </w:rPr>
              <w:t xml:space="preserve"> </w:t>
            </w:r>
            <w:r w:rsidRPr="00837D4A">
              <w:rPr>
                <w:rFonts w:ascii="Verdana" w:hAnsi="Verdana"/>
                <w:sz w:val="16"/>
                <w:szCs w:val="16"/>
              </w:rPr>
              <w:t>Secretaría puede requerir al gestor de que se trate la información adicional que considere necesaria en un plazo de cuarenta días hábiles contados a partir de la recepción de la propuesta de plan quinquenal respectivo;</w:t>
            </w:r>
          </w:p>
        </w:tc>
        <w:tc>
          <w:tcPr>
            <w:tcW w:w="4649" w:type="dxa"/>
          </w:tcPr>
          <w:p w14:paraId="7C924994" w14:textId="79D9E017"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Secretary may request from the manager in question any additional information it deems necessary within a period of forty working days from receipt of the respective five-year plan proposal;</w:t>
            </w:r>
          </w:p>
        </w:tc>
      </w:tr>
      <w:tr w:rsidR="009849AC" w:rsidRPr="002C0F16" w14:paraId="10727900" w14:textId="131DAEC6" w:rsidTr="00F867DE">
        <w:tc>
          <w:tcPr>
            <w:tcW w:w="4711" w:type="dxa"/>
          </w:tcPr>
          <w:p w14:paraId="55509BB6" w14:textId="77777777" w:rsidR="009849AC" w:rsidRPr="00837D4A" w:rsidRDefault="009849AC" w:rsidP="009849AC">
            <w:pPr>
              <w:pStyle w:val="Texto"/>
              <w:spacing w:line="219"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El gestor cuenta con un plazo de veinte días hábiles para atender el requerimiento;</w:t>
            </w:r>
          </w:p>
        </w:tc>
        <w:tc>
          <w:tcPr>
            <w:tcW w:w="4649" w:type="dxa"/>
          </w:tcPr>
          <w:p w14:paraId="74C6AD14" w14:textId="795BDEC6"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manager has a period of twenty business days to respond to the request;</w:t>
            </w:r>
          </w:p>
        </w:tc>
      </w:tr>
      <w:tr w:rsidR="009849AC" w:rsidRPr="002C0F16" w14:paraId="063EF997" w14:textId="04EADF97" w:rsidTr="00F867DE">
        <w:tc>
          <w:tcPr>
            <w:tcW w:w="4711" w:type="dxa"/>
          </w:tcPr>
          <w:p w14:paraId="1298AD59" w14:textId="77777777" w:rsidR="009849AC" w:rsidRPr="00837D4A" w:rsidRDefault="009849AC" w:rsidP="009849AC">
            <w:pPr>
              <w:pStyle w:val="Texto"/>
              <w:spacing w:line="219"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Agotadas las etapas previstas en las fracciones I, II y, en su caso, la fracción III de este artículo, la Secretaría debe resolver dentro de los veinte días hábiles siguientes lo conducente y debe publicar el plan quinquenal de que se trate durante el segundo semestre del primer año del quinquenio correspondiente, y</w:t>
            </w:r>
          </w:p>
        </w:tc>
        <w:tc>
          <w:tcPr>
            <w:tcW w:w="4649" w:type="dxa"/>
          </w:tcPr>
          <w:p w14:paraId="41905921" w14:textId="1082AE6C"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Once the stages provided for in sections I, II and, where applicable, section III of this article have been exhausted, the Secretary must resolve the relevant matter within the following twenty working days and must publish the five-year plan in question during the second half of the first year of the corresponding five-year period, and</w:t>
            </w:r>
          </w:p>
        </w:tc>
      </w:tr>
      <w:tr w:rsidR="009849AC" w:rsidRPr="002C0F16" w14:paraId="61B63329" w14:textId="59B82672" w:rsidTr="00F867DE">
        <w:tc>
          <w:tcPr>
            <w:tcW w:w="4711" w:type="dxa"/>
          </w:tcPr>
          <w:p w14:paraId="38F9C98F" w14:textId="77777777" w:rsidR="009849AC" w:rsidRPr="00837D4A" w:rsidRDefault="009849AC" w:rsidP="009849AC">
            <w:pPr>
              <w:pStyle w:val="Texto"/>
              <w:spacing w:line="219"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Durante el primer trimestre de cada año la Secretaría y el CENAGAS están sujetos al procedimiento previsto en el presente artículo, para lo cual deben realizar la revisión anual del plan de expansión del Sistema de Transporte y Almacenamiento Nacional Integrado de Gas Natural a que se refiere el artículo 103, último párrafo de la Ley.</w:t>
            </w:r>
          </w:p>
        </w:tc>
        <w:tc>
          <w:tcPr>
            <w:tcW w:w="4649" w:type="dxa"/>
          </w:tcPr>
          <w:p w14:paraId="08A7CCFE" w14:textId="032899F0" w:rsidR="009849AC" w:rsidRPr="00837D4A" w:rsidRDefault="009849AC" w:rsidP="009849AC">
            <w:pPr>
              <w:pStyle w:val="Texto"/>
              <w:spacing w:line="219"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During the first quarter of each year, the Secretary and CENAGAS are subject to the procedure provided for in this article, for which they must conduct the annual review of the expansion plan for the National Integrated Natural Gas Transportation and Storage System referred to in the final paragraph of Article 103 of the Law.</w:t>
            </w:r>
          </w:p>
        </w:tc>
      </w:tr>
      <w:tr w:rsidR="009849AC" w:rsidRPr="002C0F16" w14:paraId="0F4C82DF" w14:textId="286FDD21" w:rsidTr="00F867DE">
        <w:tc>
          <w:tcPr>
            <w:tcW w:w="4711" w:type="dxa"/>
          </w:tcPr>
          <w:p w14:paraId="25D59F49"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sz w:val="16"/>
                <w:szCs w:val="16"/>
              </w:rPr>
              <w:t>La Secretaría puede determinar en cualquier momento que un proyecto reúne las características para ser considerado como estratégico o, en su caso, de cobertura social y lo debe informar al CENAGAS para su consideración en la revisión anual.</w:t>
            </w:r>
          </w:p>
        </w:tc>
        <w:tc>
          <w:tcPr>
            <w:tcW w:w="4649" w:type="dxa"/>
          </w:tcPr>
          <w:p w14:paraId="6682FEF2" w14:textId="4EF0E4EC" w:rsidR="009849AC" w:rsidRPr="00837D4A" w:rsidRDefault="009849AC" w:rsidP="009849AC">
            <w:pPr>
              <w:pStyle w:val="Texto"/>
              <w:spacing w:line="219" w:lineRule="exact"/>
              <w:ind w:firstLine="0"/>
              <w:rPr>
                <w:rFonts w:ascii="Verdana" w:hAnsi="Verdana"/>
                <w:sz w:val="16"/>
                <w:szCs w:val="16"/>
                <w:lang w:val="en-US"/>
              </w:rPr>
            </w:pPr>
            <w:r w:rsidRPr="00837D4A">
              <w:rPr>
                <w:rFonts w:ascii="Verdana" w:hAnsi="Verdana"/>
                <w:sz w:val="16"/>
                <w:szCs w:val="16"/>
                <w:lang w:val="en-US"/>
              </w:rPr>
              <w:t>The Secretary may determine at any time that a project meets the criteria to be considered strategic or, where appropriate, social coverage and must inform CENAGAS for consideration in the annual review.</w:t>
            </w:r>
          </w:p>
        </w:tc>
      </w:tr>
      <w:tr w:rsidR="009849AC" w:rsidRPr="002C0F16" w14:paraId="526E8D6A" w14:textId="4A7B8073" w:rsidTr="00F867DE">
        <w:tc>
          <w:tcPr>
            <w:tcW w:w="4711" w:type="dxa"/>
          </w:tcPr>
          <w:p w14:paraId="05456634" w14:textId="77777777" w:rsidR="009849AC" w:rsidRPr="00837D4A" w:rsidRDefault="009849AC" w:rsidP="009849AC">
            <w:pPr>
              <w:pStyle w:val="Texto"/>
              <w:spacing w:line="219" w:lineRule="exact"/>
              <w:ind w:firstLine="0"/>
              <w:rPr>
                <w:rFonts w:ascii="Verdana" w:hAnsi="Verdana"/>
                <w:sz w:val="16"/>
                <w:szCs w:val="16"/>
              </w:rPr>
            </w:pPr>
            <w:r w:rsidRPr="00837D4A">
              <w:rPr>
                <w:rFonts w:ascii="Verdana" w:hAnsi="Verdana"/>
                <w:sz w:val="16"/>
                <w:szCs w:val="16"/>
              </w:rPr>
              <w:t>Asimismo, puede solicitar la opinión de la Comisión para resolver sobre la solicitud que se le presente. En caso de que se solicite tal opinión, el plazo para resolver sobre la aprobación y emisión de los planes quinquenales se suspende. Dicha suspensión no debe exceder de treinta días hábiles contados a partir de que se realice la solicitud correspondiente a la Comisión.</w:t>
            </w:r>
          </w:p>
        </w:tc>
        <w:tc>
          <w:tcPr>
            <w:tcW w:w="4649" w:type="dxa"/>
          </w:tcPr>
          <w:p w14:paraId="7EFBA340" w14:textId="63DB6056" w:rsidR="009849AC" w:rsidRPr="00837D4A" w:rsidRDefault="009849AC" w:rsidP="009849AC">
            <w:pPr>
              <w:pStyle w:val="Texto"/>
              <w:spacing w:line="219" w:lineRule="exact"/>
              <w:ind w:firstLine="0"/>
              <w:rPr>
                <w:rFonts w:ascii="Verdana" w:hAnsi="Verdana"/>
                <w:sz w:val="16"/>
                <w:szCs w:val="16"/>
                <w:lang w:val="en-US"/>
              </w:rPr>
            </w:pPr>
            <w:r w:rsidRPr="00837D4A">
              <w:rPr>
                <w:rFonts w:ascii="Verdana" w:hAnsi="Verdana"/>
                <w:sz w:val="16"/>
                <w:szCs w:val="16"/>
                <w:lang w:val="en-US"/>
              </w:rPr>
              <w:t>Likewise, you may request the Commission's opinion to resolve the request submitted to it. If such an opinion is requested, the deadline for deciding on the approval and issuance of five-year plans is suspended. This suspension must not exceed thirty business days from the date the corresponding request is made to the Commission.</w:t>
            </w:r>
          </w:p>
        </w:tc>
      </w:tr>
      <w:tr w:rsidR="009849AC" w:rsidRPr="002C0F16" w14:paraId="443DF326" w14:textId="16B2C889" w:rsidTr="00F867DE">
        <w:tc>
          <w:tcPr>
            <w:tcW w:w="4711" w:type="dxa"/>
          </w:tcPr>
          <w:p w14:paraId="76340202"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169.</w:t>
            </w:r>
            <w:r w:rsidRPr="00837D4A">
              <w:rPr>
                <w:rFonts w:ascii="Verdana" w:hAnsi="Verdana"/>
                <w:sz w:val="16"/>
                <w:szCs w:val="16"/>
              </w:rPr>
              <w:t xml:space="preserve"> Para que la Secretaría considere un proyecto como estratégico para garantizar el desarrollo eficiente del Sistema de Transporte y Almacenamiento Nacional Integrado de Gas Natural debe contar con los siguientes elementos:</w:t>
            </w:r>
          </w:p>
        </w:tc>
        <w:tc>
          <w:tcPr>
            <w:tcW w:w="4649" w:type="dxa"/>
          </w:tcPr>
          <w:p w14:paraId="63C3F407" w14:textId="04BFAFEE"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169. </w:t>
            </w:r>
            <w:r w:rsidRPr="00837D4A">
              <w:rPr>
                <w:rFonts w:ascii="Verdana" w:hAnsi="Verdana"/>
                <w:sz w:val="16"/>
                <w:szCs w:val="16"/>
                <w:lang w:val="en-US"/>
              </w:rPr>
              <w:t>For the Secretary to consider a project as strategic to ensure the efficient development of the national integrated natural gas transportation and storage system, it must have the following elements:</w:t>
            </w:r>
          </w:p>
        </w:tc>
      </w:tr>
      <w:tr w:rsidR="009849AC" w:rsidRPr="002C0F16" w14:paraId="4E9D607A" w14:textId="6F759C96" w:rsidTr="00F867DE">
        <w:tc>
          <w:tcPr>
            <w:tcW w:w="4711" w:type="dxa"/>
          </w:tcPr>
          <w:p w14:paraId="17A5CC5A"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Que la naturaleza del proyecto cumpla con al menos alguna de las características a que se refiere el artículo 103, tercer párrafo de la Ley;</w:t>
            </w:r>
          </w:p>
        </w:tc>
        <w:tc>
          <w:tcPr>
            <w:tcW w:w="4649" w:type="dxa"/>
          </w:tcPr>
          <w:p w14:paraId="0E0523DA" w14:textId="47336B26"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That the nature of the project meets at least some of the characteristics referred to in article 103, third paragraph of the Law;</w:t>
            </w:r>
          </w:p>
        </w:tc>
      </w:tr>
      <w:tr w:rsidR="009849AC" w:rsidRPr="002C0F16" w14:paraId="1DEFEFCB" w14:textId="763D1152" w:rsidTr="00F867DE">
        <w:tc>
          <w:tcPr>
            <w:tcW w:w="4711" w:type="dxa"/>
          </w:tcPr>
          <w:p w14:paraId="068B029D"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Que tenga la opinión técnica favorable de la Comisión, la cual debe ser emitida dentro de los veinte días hábiles siguientes a la recepción de la solicitud de la Secretaría, y</w:t>
            </w:r>
          </w:p>
        </w:tc>
        <w:tc>
          <w:tcPr>
            <w:tcW w:w="4649" w:type="dxa"/>
          </w:tcPr>
          <w:p w14:paraId="1FCE80A9" w14:textId="7530A354"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That it has a favorable technical opinion from the Commission, which must be issued within twenty working days following receipt of the request from the Secretary, and</w:t>
            </w:r>
          </w:p>
        </w:tc>
      </w:tr>
      <w:tr w:rsidR="009849AC" w:rsidRPr="002C0F16" w14:paraId="58292F9E" w14:textId="502A8F43" w:rsidTr="00F867DE">
        <w:tc>
          <w:tcPr>
            <w:tcW w:w="4711" w:type="dxa"/>
          </w:tcPr>
          <w:p w14:paraId="18CEFF69"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Que el proyecto cumpla con los objetivos de la política pública en materia energética aplicable a los niveles de Almacenamiento y a la garantía de suministro de Hidrocarburos.</w:t>
            </w:r>
          </w:p>
        </w:tc>
        <w:tc>
          <w:tcPr>
            <w:tcW w:w="4649" w:type="dxa"/>
          </w:tcPr>
          <w:p w14:paraId="0BC6DC34" w14:textId="62F65837"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That the project meets the objectives of public policy in energy matters applicable to the levels of storage and the guarantee of supply of hydrocarbons.</w:t>
            </w:r>
          </w:p>
        </w:tc>
      </w:tr>
      <w:tr w:rsidR="009849AC" w:rsidRPr="00D0180E" w14:paraId="14E6A267" w14:textId="66FA68B7" w:rsidTr="00F867DE">
        <w:tc>
          <w:tcPr>
            <w:tcW w:w="4711" w:type="dxa"/>
          </w:tcPr>
          <w:p w14:paraId="3F149D63"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Capítulo IX</w:t>
            </w:r>
          </w:p>
        </w:tc>
        <w:tc>
          <w:tcPr>
            <w:tcW w:w="4649" w:type="dxa"/>
          </w:tcPr>
          <w:p w14:paraId="2F902CAB" w14:textId="1FA32E64" w:rsidR="009849AC" w:rsidRPr="00837D4A" w:rsidRDefault="009849AC" w:rsidP="009849AC">
            <w:pPr>
              <w:pStyle w:val="Texto"/>
              <w:ind w:firstLine="0"/>
              <w:jc w:val="center"/>
              <w:rPr>
                <w:rFonts w:ascii="Verdana" w:hAnsi="Verdana"/>
                <w:b/>
                <w:sz w:val="16"/>
                <w:szCs w:val="16"/>
                <w:lang w:val="en-US"/>
              </w:rPr>
            </w:pPr>
            <w:r w:rsidRPr="00837D4A">
              <w:rPr>
                <w:rFonts w:ascii="Verdana" w:hAnsi="Verdana"/>
                <w:b/>
                <w:sz w:val="16"/>
                <w:szCs w:val="16"/>
                <w:lang w:val="en-US"/>
              </w:rPr>
              <w:t>Chapter IX</w:t>
            </w:r>
          </w:p>
        </w:tc>
      </w:tr>
      <w:tr w:rsidR="009849AC" w:rsidRPr="00D0180E" w14:paraId="30E00F4F" w14:textId="490E5D15" w:rsidTr="00F867DE">
        <w:tc>
          <w:tcPr>
            <w:tcW w:w="4711" w:type="dxa"/>
          </w:tcPr>
          <w:p w14:paraId="6EF10F2C"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De la Regulación Económica</w:t>
            </w:r>
          </w:p>
        </w:tc>
        <w:tc>
          <w:tcPr>
            <w:tcW w:w="4649" w:type="dxa"/>
          </w:tcPr>
          <w:p w14:paraId="4715DAFA" w14:textId="39991101" w:rsidR="009849AC" w:rsidRPr="00837D4A" w:rsidRDefault="009849AC" w:rsidP="009849AC">
            <w:pPr>
              <w:pStyle w:val="Texto"/>
              <w:ind w:firstLine="0"/>
              <w:jc w:val="center"/>
              <w:rPr>
                <w:rFonts w:ascii="Verdana" w:hAnsi="Verdana"/>
                <w:b/>
                <w:sz w:val="16"/>
                <w:szCs w:val="16"/>
                <w:lang w:val="en-US"/>
              </w:rPr>
            </w:pPr>
            <w:r w:rsidRPr="00837D4A">
              <w:rPr>
                <w:rFonts w:ascii="Verdana" w:hAnsi="Verdana"/>
                <w:b/>
                <w:sz w:val="16"/>
                <w:szCs w:val="16"/>
                <w:lang w:val="en-US"/>
              </w:rPr>
              <w:t>Economic Regulation</w:t>
            </w:r>
          </w:p>
        </w:tc>
      </w:tr>
      <w:tr w:rsidR="009849AC" w:rsidRPr="00D0180E" w14:paraId="17F6454B" w14:textId="2C7E7553" w:rsidTr="00F867DE">
        <w:tc>
          <w:tcPr>
            <w:tcW w:w="4711" w:type="dxa"/>
          </w:tcPr>
          <w:p w14:paraId="1EB81B26"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Sección Primera</w:t>
            </w:r>
          </w:p>
        </w:tc>
        <w:tc>
          <w:tcPr>
            <w:tcW w:w="4649" w:type="dxa"/>
          </w:tcPr>
          <w:p w14:paraId="0A67B617" w14:textId="3770C626" w:rsidR="009849AC" w:rsidRPr="00837D4A" w:rsidRDefault="009849AC" w:rsidP="009849AC">
            <w:pPr>
              <w:pStyle w:val="Texto"/>
              <w:ind w:firstLine="0"/>
              <w:jc w:val="center"/>
              <w:rPr>
                <w:rFonts w:ascii="Verdana" w:hAnsi="Verdana"/>
                <w:b/>
                <w:sz w:val="16"/>
                <w:szCs w:val="16"/>
                <w:lang w:val="en-US"/>
              </w:rPr>
            </w:pPr>
            <w:r w:rsidRPr="00837D4A">
              <w:rPr>
                <w:rFonts w:ascii="Verdana" w:hAnsi="Verdana"/>
                <w:b/>
                <w:sz w:val="16"/>
                <w:szCs w:val="16"/>
                <w:lang w:val="en-US"/>
              </w:rPr>
              <w:t>First Section</w:t>
            </w:r>
          </w:p>
        </w:tc>
      </w:tr>
      <w:tr w:rsidR="009849AC" w:rsidRPr="002C0F16" w14:paraId="1CE4A697" w14:textId="47C14807" w:rsidTr="00F867DE">
        <w:tc>
          <w:tcPr>
            <w:tcW w:w="4711" w:type="dxa"/>
          </w:tcPr>
          <w:p w14:paraId="5DCD0278"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lastRenderedPageBreak/>
              <w:t>De los Términos y Condiciones para la Prestación de los Servicios</w:t>
            </w:r>
          </w:p>
        </w:tc>
        <w:tc>
          <w:tcPr>
            <w:tcW w:w="4649" w:type="dxa"/>
          </w:tcPr>
          <w:p w14:paraId="5CF50CCF" w14:textId="402E1CCB" w:rsidR="009849AC" w:rsidRPr="00837D4A" w:rsidRDefault="009849AC" w:rsidP="009849AC">
            <w:pPr>
              <w:pStyle w:val="Texto"/>
              <w:ind w:firstLine="0"/>
              <w:jc w:val="center"/>
              <w:rPr>
                <w:rFonts w:ascii="Verdana" w:hAnsi="Verdana"/>
                <w:b/>
                <w:sz w:val="16"/>
                <w:szCs w:val="16"/>
                <w:lang w:val="en-US"/>
              </w:rPr>
            </w:pPr>
            <w:r w:rsidRPr="00837D4A">
              <w:rPr>
                <w:rFonts w:ascii="Verdana" w:hAnsi="Verdana"/>
                <w:b/>
                <w:sz w:val="16"/>
                <w:szCs w:val="16"/>
                <w:lang w:val="en-US"/>
              </w:rPr>
              <w:t>Terms and Conditions for the Provision of Services</w:t>
            </w:r>
          </w:p>
        </w:tc>
      </w:tr>
      <w:tr w:rsidR="009849AC" w:rsidRPr="002C0F16" w14:paraId="0CFCEE3F" w14:textId="3FF939FD" w:rsidTr="00F867DE">
        <w:tc>
          <w:tcPr>
            <w:tcW w:w="4711" w:type="dxa"/>
          </w:tcPr>
          <w:p w14:paraId="0AD79F0A"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170.</w:t>
            </w:r>
            <w:r w:rsidRPr="00837D4A">
              <w:rPr>
                <w:rFonts w:ascii="Verdana" w:hAnsi="Verdana"/>
                <w:sz w:val="16"/>
                <w:szCs w:val="16"/>
              </w:rPr>
              <w:t xml:space="preserve"> La Secretaría y la Comisión deben emitir, conforme a sus atribuciones, la Normatividad y los lineamientos para la elaboración de los términos y condiciones a los que debe sujetarse la prestación de los servicios al amparo de los permisos de Transporte y Distribución por medio de Ductos, así como de Comercialización, gestión de Sistemas Integrados y Almacenamiento de Hidrocarburos, Petrolíferos y Petroquímicos según corresponda, de conformidad con lo establecido en el artículo 117 de la Ley.</w:t>
            </w:r>
          </w:p>
        </w:tc>
        <w:tc>
          <w:tcPr>
            <w:tcW w:w="4649" w:type="dxa"/>
          </w:tcPr>
          <w:p w14:paraId="5732821D" w14:textId="6CD47C67"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170. </w:t>
            </w:r>
            <w:r w:rsidRPr="00837D4A">
              <w:rPr>
                <w:rFonts w:ascii="Verdana" w:hAnsi="Verdana"/>
                <w:sz w:val="16"/>
                <w:szCs w:val="16"/>
                <w:lang w:val="en-US"/>
              </w:rPr>
              <w:t>The Secretary and the Commission must issue, in accordance with their powers, the legislation  and guidelines for the preparation of the terms and conditions to which the provision of services must be subject under the permits for transportation and distribution by means of pipelines, as well as marketing, management of integrated systems and storage of hydrocarbons, petroleum products and petrochemicals as appropriate, in accordance with the provisions of Article 117 of the Law.</w:t>
            </w:r>
          </w:p>
        </w:tc>
      </w:tr>
      <w:tr w:rsidR="009849AC" w:rsidRPr="002C0F16" w14:paraId="3A270657" w14:textId="47B67F42" w:rsidTr="00F867DE">
        <w:tc>
          <w:tcPr>
            <w:tcW w:w="4711" w:type="dxa"/>
          </w:tcPr>
          <w:p w14:paraId="5E4C8F6C"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Normatividad a que se refiere el párrafo anterior, con excepción de Comercialización, debe establecer el Mecanismo de Asignación de Capacidad que corresponda, así como las condiciones que garanticen el uso eficiente de la capacidad disponible a través del mercado secundario y los contenidos mínimos de los términos y condiciones para la prestación del servicio de las actividades permisionadas, las cuales deben reflejar la práctica común de la industria de cada actividad bajo principios que permitan que el desarrollo de las actividades reguladas sean de conformidad con el artículo 117 de la Ley, en beneficio de las personas Usuarias Finales.</w:t>
            </w:r>
          </w:p>
        </w:tc>
        <w:tc>
          <w:tcPr>
            <w:tcW w:w="4649" w:type="dxa"/>
          </w:tcPr>
          <w:p w14:paraId="3F3CCFF5" w14:textId="4B70D184"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legislation  referred to in the preceding paragraph, with the exception of marketing, must establish the corresponding Capacity Assignment Mechanism, as well as the conditions that guarantee the efficient use of the available capacity through the secondary market and the minimum contents of the terms and conditions for the provision of the service of the permitted activities, which must reflect the common practice of the industry of each activity under principles that allow the development of the regulated activities to be in accordance with article 117 of the Law, for the benefit of the end users.</w:t>
            </w:r>
          </w:p>
        </w:tc>
      </w:tr>
      <w:tr w:rsidR="009849AC" w:rsidRPr="002C0F16" w14:paraId="3B6629D0" w14:textId="1B02C0B3" w:rsidTr="00F867DE">
        <w:tc>
          <w:tcPr>
            <w:tcW w:w="4711" w:type="dxa"/>
          </w:tcPr>
          <w:p w14:paraId="062B04DC"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Asimismo, es facultad de la Secretaría o de la Comisión, según corresponda, expedir la Normatividad aplicable para la elaboración de los términos y condiciones para la prestación del servicio de cada actividad regulada, los cuales deben reflejar la práctica común de la industria para cada actividad, bajo principios que garanticen la seguridad y autosuficiencia energética, en beneficio de las personas Usuarias o Usuarias Finales.</w:t>
            </w:r>
          </w:p>
        </w:tc>
        <w:tc>
          <w:tcPr>
            <w:tcW w:w="4649" w:type="dxa"/>
          </w:tcPr>
          <w:p w14:paraId="53A74C92" w14:textId="665F0FC9"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Likewise, it is the responsibility of the Secretary or the Commission, as appropriate, to issue the applicable legislation for the development of the terms and conditions for the provision of services for each regulated activity. These terms and conditions must reflect common industry practice for each activity, based on principles that guarantee energy security and self-sufficiency, for the benefit of users or end users.</w:t>
            </w:r>
          </w:p>
        </w:tc>
      </w:tr>
      <w:tr w:rsidR="009849AC" w:rsidRPr="002C0F16" w14:paraId="298700C3" w14:textId="54316A0F" w:rsidTr="00F867DE">
        <w:tc>
          <w:tcPr>
            <w:tcW w:w="4711" w:type="dxa"/>
          </w:tcPr>
          <w:p w14:paraId="595EEBC0"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Normatividad que emitan la Secretaría o la Comisión, en términos de este artículo, debe buscar evitar que las personas Permisionarias ejerzan poder de mercado en perjuicio de las personas Usuarias y Usuarias Finales, a través de instrumentar un régimen de regulación predecible, estable y transparente, que establezca condiciones bajo principios de proporcionalidad y equidad en la contratación de los servicios.</w:t>
            </w:r>
          </w:p>
        </w:tc>
        <w:tc>
          <w:tcPr>
            <w:tcW w:w="4649" w:type="dxa"/>
          </w:tcPr>
          <w:p w14:paraId="06BEA64E" w14:textId="7147B839"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Legislation issued by the Secretary or the Commission, in accordance with this article, must seek to prevent permit holders from exercising market power to the detriment of users and end users by implementing a predictable, stable, and transparent regulatory regime that establishes conditions based on principles of proportionality and equity in the contracting of services.</w:t>
            </w:r>
          </w:p>
        </w:tc>
      </w:tr>
      <w:tr w:rsidR="009849AC" w:rsidRPr="002C0F16" w14:paraId="7E6AEB42" w14:textId="5AFEC48B" w:rsidTr="00F867DE">
        <w:tc>
          <w:tcPr>
            <w:tcW w:w="4711" w:type="dxa"/>
          </w:tcPr>
          <w:p w14:paraId="3B3514C7"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Secretaría o la Comisión pueden expedir, en el ámbito de sus respectivas competencias, las modificaciones que resulten necesarias a la Normatividad a efecto de que los términos y condiciones para la prestación de los servicios satisfagan lo señalado en el presente artículo.</w:t>
            </w:r>
          </w:p>
        </w:tc>
        <w:tc>
          <w:tcPr>
            <w:tcW w:w="4649" w:type="dxa"/>
          </w:tcPr>
          <w:p w14:paraId="7AC6E9E6" w14:textId="7E594AA7"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Secretary or the Commission may, within the scope of their respective powers, issue any necessary amendments to the legislation to ensure that the terms and conditions for the provision of services comply with the provisions of this article.</w:t>
            </w:r>
          </w:p>
        </w:tc>
      </w:tr>
      <w:tr w:rsidR="009849AC" w:rsidRPr="002C0F16" w14:paraId="5E914EC0" w14:textId="3C0821DA" w:rsidTr="00F867DE">
        <w:tc>
          <w:tcPr>
            <w:tcW w:w="4711" w:type="dxa"/>
          </w:tcPr>
          <w:p w14:paraId="66D0426D"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171.</w:t>
            </w:r>
            <w:r w:rsidRPr="00837D4A">
              <w:rPr>
                <w:rFonts w:ascii="Verdana" w:hAnsi="Verdana"/>
                <w:sz w:val="16"/>
                <w:szCs w:val="16"/>
              </w:rPr>
              <w:t xml:space="preserve"> La Secretaría o la Comisión deben aprobar en cada caso, los términos y condiciones para la prestación del servicio aplicables a las personas Permisionarias referidas en el artículo 170 del presente reglamento.</w:t>
            </w:r>
          </w:p>
        </w:tc>
        <w:tc>
          <w:tcPr>
            <w:tcW w:w="4649" w:type="dxa"/>
          </w:tcPr>
          <w:p w14:paraId="1F07876E" w14:textId="28CDA4EC"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171. </w:t>
            </w:r>
            <w:r w:rsidRPr="00837D4A">
              <w:rPr>
                <w:rFonts w:ascii="Verdana" w:hAnsi="Verdana"/>
                <w:sz w:val="16"/>
                <w:szCs w:val="16"/>
                <w:lang w:val="en-US"/>
              </w:rPr>
              <w:t>The Secretary or the Commission must approve in each case the terms and conditions for the provision of the service applicable to the Permit Holders referred to in Article 170 of this Regulation.</w:t>
            </w:r>
          </w:p>
        </w:tc>
      </w:tr>
      <w:tr w:rsidR="009849AC" w:rsidRPr="002C0F16" w14:paraId="60EFC35C" w14:textId="7EE35BA0" w:rsidTr="00F867DE">
        <w:tc>
          <w:tcPr>
            <w:tcW w:w="4711" w:type="dxa"/>
          </w:tcPr>
          <w:p w14:paraId="0786FEF5"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aprobación de los términos y condiciones para la prestación del servicio es un requisito para el inicio de operaciones y estos forman parte del título de permiso respectivo.</w:t>
            </w:r>
          </w:p>
        </w:tc>
        <w:tc>
          <w:tcPr>
            <w:tcW w:w="4649" w:type="dxa"/>
          </w:tcPr>
          <w:p w14:paraId="733F1311" w14:textId="51BBA546"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Approval of the terms and conditions for the provision of the service is a requirement for the start of operations and is part of the respective permit title.</w:t>
            </w:r>
          </w:p>
        </w:tc>
      </w:tr>
      <w:tr w:rsidR="009849AC" w:rsidRPr="002C0F16" w14:paraId="076628E6" w14:textId="55CB5C73" w:rsidTr="00F867DE">
        <w:tc>
          <w:tcPr>
            <w:tcW w:w="4711" w:type="dxa"/>
          </w:tcPr>
          <w:p w14:paraId="69268FC3"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lastRenderedPageBreak/>
              <w:t>Las personas Permisionarias no pueden pactar condiciones distintas a las aprobadas en los términos y condiciones para la prestación de los servicios. Lo anterior, salvo aquellas que expresamente se identifiquen como negociables en los términos y condiciones para la prestación de los servicios y que para tales efectos así lo determinen la Secretaría o la Comisión.</w:t>
            </w:r>
          </w:p>
        </w:tc>
        <w:tc>
          <w:tcPr>
            <w:tcW w:w="4649" w:type="dxa"/>
          </w:tcPr>
          <w:p w14:paraId="75A6898E" w14:textId="44C40907"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Permit holders may not enter into conditions other than those approved in the terms and conditions for the provision of services. This applies only to those conditions expressly identified as negotiable in the terms and conditions for the provision of services, as determined by the Secretary or the Commission for such purposes.</w:t>
            </w:r>
          </w:p>
        </w:tc>
      </w:tr>
      <w:tr w:rsidR="009849AC" w:rsidRPr="002C0F16" w14:paraId="0F38E11B" w14:textId="10F80E5D" w:rsidTr="00F867DE">
        <w:tc>
          <w:tcPr>
            <w:tcW w:w="4711" w:type="dxa"/>
          </w:tcPr>
          <w:p w14:paraId="753BB919"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En su caso, las condiciones negociables a que se refiere el párrafo anterior deben sujetarse a que las circunstancias de las personas Usuarias o Usuarias Finales lo justifiquen, a que la persona Permisionaria extienda dichas condiciones a cualquier otra persona Usuaria o Usuaria Final que se encuentre en circunstancias similares, y dichas condiciones no impongan limitaciones o discriminación indebida respecto de los compromisos de prestación de los servicios adquiridos previamente por la persona Permisionaria.</w:t>
            </w:r>
          </w:p>
        </w:tc>
        <w:tc>
          <w:tcPr>
            <w:tcW w:w="4649" w:type="dxa"/>
          </w:tcPr>
          <w:p w14:paraId="174BD057" w14:textId="0B54D5F2"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Where applicable, the negotiable conditions referred to in the preceding paragraph must be subject to the circumstances of the users or end users justifying it, to the permit holder extending said conditions to any other user or end User who is in similar circumstances, and said conditions not imposing limitations or undue discrimination with respect to the commitments to provide services previously acquired by the Permit Holder.</w:t>
            </w:r>
          </w:p>
        </w:tc>
      </w:tr>
      <w:tr w:rsidR="009849AC" w:rsidRPr="002C0F16" w14:paraId="3EF63B0D" w14:textId="5284692E" w:rsidTr="00F867DE">
        <w:tc>
          <w:tcPr>
            <w:tcW w:w="4711" w:type="dxa"/>
          </w:tcPr>
          <w:p w14:paraId="14208760"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persona Permisionaria debe hacer del conocimiento general de los interesados a través de medios electrónicos, una versión pública de las condiciones negociables que hayan sido pactadas con las personas Usuarias o Usuarias Finales en los términos establecidos en la Normatividad aplicable.</w:t>
            </w:r>
          </w:p>
        </w:tc>
        <w:tc>
          <w:tcPr>
            <w:tcW w:w="4649" w:type="dxa"/>
          </w:tcPr>
          <w:p w14:paraId="3CC3DFCE" w14:textId="3BAC3205"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Permit Holder must make known to interested parties, through electronic means, a public version of the negotiable conditions that have been agreed upon with the users or end users under the terms established in the applicable legislation.</w:t>
            </w:r>
          </w:p>
        </w:tc>
      </w:tr>
      <w:tr w:rsidR="009849AC" w:rsidRPr="002C0F16" w14:paraId="60320F09" w14:textId="416DB05C" w:rsidTr="00F867DE">
        <w:tc>
          <w:tcPr>
            <w:tcW w:w="4711" w:type="dxa"/>
          </w:tcPr>
          <w:p w14:paraId="07443F03"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sz w:val="16"/>
                <w:szCs w:val="16"/>
              </w:rPr>
              <w:t>Cuando dichas condiciones negociables constituyan una nueva modalidad de prestación de servicio, esta se debe incorporar a los términos y condiciones para la prestación de los servicios, previa aprobación de la Secretaría o de la Comisión, para lo cual la persona Permisionaria debe solicitar la modificación de sus términos y condiciones.</w:t>
            </w:r>
          </w:p>
        </w:tc>
        <w:tc>
          <w:tcPr>
            <w:tcW w:w="4649" w:type="dxa"/>
          </w:tcPr>
          <w:p w14:paraId="2813A10D" w14:textId="3EDDFF33" w:rsidR="009849AC" w:rsidRPr="00837D4A" w:rsidRDefault="009849AC" w:rsidP="009849AC">
            <w:pPr>
              <w:pStyle w:val="Texto"/>
              <w:spacing w:line="217" w:lineRule="exact"/>
              <w:ind w:firstLine="0"/>
              <w:rPr>
                <w:rFonts w:ascii="Verdana" w:hAnsi="Verdana"/>
                <w:sz w:val="16"/>
                <w:szCs w:val="16"/>
                <w:lang w:val="en-US"/>
              </w:rPr>
            </w:pPr>
            <w:r w:rsidRPr="00837D4A">
              <w:rPr>
                <w:rFonts w:ascii="Verdana" w:hAnsi="Verdana"/>
                <w:sz w:val="16"/>
                <w:szCs w:val="16"/>
                <w:lang w:val="en-US"/>
              </w:rPr>
              <w:t>When these negotiable conditions constitute a new service provision modality, this must be incorporated into the terms and conditions for the provision of services, subject to approval by the Secretary or the Commission. For this purpose, the permit holder must request a modification to its terms and conditions.</w:t>
            </w:r>
          </w:p>
        </w:tc>
      </w:tr>
      <w:tr w:rsidR="009849AC" w:rsidRPr="002C0F16" w14:paraId="38714EBE" w14:textId="14162B38" w:rsidTr="00F867DE">
        <w:tc>
          <w:tcPr>
            <w:tcW w:w="4711" w:type="dxa"/>
          </w:tcPr>
          <w:p w14:paraId="7B77A7E7"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b/>
                <w:sz w:val="16"/>
                <w:szCs w:val="16"/>
              </w:rPr>
              <w:t>Artículo 172.</w:t>
            </w:r>
            <w:r w:rsidRPr="00837D4A">
              <w:rPr>
                <w:rFonts w:ascii="Verdana" w:hAnsi="Verdana"/>
                <w:sz w:val="16"/>
                <w:szCs w:val="16"/>
              </w:rPr>
              <w:t xml:space="preserve"> Sin menoscabo de la Normatividad que al efecto emitan la Secretaría o la Comisión, los términos y condiciones para la prestación de los servicios a que se refiere esta Sección deben contener, como mínimo, lo siguiente:</w:t>
            </w:r>
          </w:p>
        </w:tc>
        <w:tc>
          <w:tcPr>
            <w:tcW w:w="4649" w:type="dxa"/>
          </w:tcPr>
          <w:p w14:paraId="3184BF5D" w14:textId="0085D12B"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Article 172. </w:t>
            </w:r>
            <w:r w:rsidRPr="00837D4A">
              <w:rPr>
                <w:rFonts w:ascii="Verdana" w:hAnsi="Verdana"/>
                <w:sz w:val="16"/>
                <w:szCs w:val="16"/>
                <w:lang w:val="en-US"/>
              </w:rPr>
              <w:t>Without prejudice to the legislation issued for this purpose by the Secretary or the Commission, the terms and conditions for the provision of the services referred to in this Section must contain, as a minimum, the following:</w:t>
            </w:r>
          </w:p>
        </w:tc>
      </w:tr>
      <w:tr w:rsidR="009849AC" w:rsidRPr="002C0F16" w14:paraId="418A9EC1" w14:textId="4CAE1938" w:rsidTr="00F867DE">
        <w:tc>
          <w:tcPr>
            <w:tcW w:w="4711" w:type="dxa"/>
          </w:tcPr>
          <w:p w14:paraId="6DE69262"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Las características y alcances de la prestación del servicio permisionado al amparo de la actividad regulada de conformidad con lo previsto en la Ley, este reglamento y demás Normatividad aplicable;</w:t>
            </w:r>
          </w:p>
        </w:tc>
        <w:tc>
          <w:tcPr>
            <w:tcW w:w="4649" w:type="dxa"/>
          </w:tcPr>
          <w:p w14:paraId="4E0A494B" w14:textId="602FF3AB"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characteristics and scope of the provision of the service permitted under the regulated activity in accordance with the provisions of the Law, this regulation and other applicable legislation;</w:t>
            </w:r>
          </w:p>
        </w:tc>
      </w:tr>
      <w:tr w:rsidR="009849AC" w:rsidRPr="002C0F16" w14:paraId="5C59F2D4" w14:textId="7BAA94D0" w:rsidTr="00F867DE">
        <w:tc>
          <w:tcPr>
            <w:tcW w:w="4711" w:type="dxa"/>
          </w:tcPr>
          <w:p w14:paraId="7DF93457"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forma en que los sujetos obligados deben garantizar el Acceso Abierto No Indebidamente Discriminatorio en la prestación de los servicios, alineada a los mecanismos de Asignación de Capacidad que para tal efecto emita la Secretaría, en los casos en que esta obligación sea aplicable;</w:t>
            </w:r>
          </w:p>
        </w:tc>
        <w:tc>
          <w:tcPr>
            <w:tcW w:w="4649" w:type="dxa"/>
          </w:tcPr>
          <w:p w14:paraId="5A1BF635" w14:textId="4DD33D4D"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manner in which obligated subjects must guarantee non-unduly discriminatory open access in the provision of services, aligned with the capacity assignment mechanisms issued for this purpose by the Secretary, in cases where this obligation is applicable;</w:t>
            </w:r>
          </w:p>
        </w:tc>
      </w:tr>
      <w:tr w:rsidR="009849AC" w:rsidRPr="002C0F16" w14:paraId="11E68DD2" w14:textId="7DC138D3" w:rsidTr="00F867DE">
        <w:tc>
          <w:tcPr>
            <w:tcW w:w="4711" w:type="dxa"/>
          </w:tcPr>
          <w:p w14:paraId="01C5875C"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Los derechos y obligaciones de la persona Permisionaria y de las personas Usuarias y Usuarias Finales e incluir las condiciones para la suspensión del servicio;</w:t>
            </w:r>
          </w:p>
        </w:tc>
        <w:tc>
          <w:tcPr>
            <w:tcW w:w="4649" w:type="dxa"/>
          </w:tcPr>
          <w:p w14:paraId="78ADF43B" w14:textId="256124EF"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rights and obligations of the permit holder and the users and end users and include the conditions for the suspension of the service;</w:t>
            </w:r>
          </w:p>
        </w:tc>
      </w:tr>
      <w:tr w:rsidR="009849AC" w:rsidRPr="002C0F16" w14:paraId="007ED2D4" w14:textId="447F65C2" w:rsidTr="00F867DE">
        <w:tc>
          <w:tcPr>
            <w:tcW w:w="4711" w:type="dxa"/>
          </w:tcPr>
          <w:p w14:paraId="54DB6A03"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El esquema de penalizaciones y bonificaciones ante el incumplimiento de las obligaciones contractuales entre las partes;</w:t>
            </w:r>
          </w:p>
        </w:tc>
        <w:tc>
          <w:tcPr>
            <w:tcW w:w="4649" w:type="dxa"/>
          </w:tcPr>
          <w:p w14:paraId="666F93B9" w14:textId="2C56473B"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scheme of penalties and bonuses for non-compliance with contractual obligations between the parties;</w:t>
            </w:r>
          </w:p>
        </w:tc>
      </w:tr>
      <w:tr w:rsidR="009849AC" w:rsidRPr="002C0F16" w14:paraId="480A3E0E" w14:textId="61830EA6" w:rsidTr="00F867DE">
        <w:tc>
          <w:tcPr>
            <w:tcW w:w="4711" w:type="dxa"/>
          </w:tcPr>
          <w:p w14:paraId="1C6ACB69"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lastRenderedPageBreak/>
              <w:t>V.</w:t>
            </w:r>
            <w:r w:rsidRPr="00837D4A">
              <w:rPr>
                <w:rFonts w:ascii="Verdana" w:hAnsi="Verdana"/>
                <w:b/>
                <w:sz w:val="16"/>
                <w:szCs w:val="16"/>
              </w:rPr>
              <w:tab/>
            </w:r>
            <w:r w:rsidRPr="00837D4A">
              <w:rPr>
                <w:rFonts w:ascii="Verdana" w:hAnsi="Verdana"/>
                <w:sz w:val="16"/>
                <w:szCs w:val="16"/>
              </w:rPr>
              <w:t>Las condiciones negociables que, en su caso, pueden pactarse de común acuerdo con las personas Usuarias y Usuarias Finales;</w:t>
            </w:r>
          </w:p>
        </w:tc>
        <w:tc>
          <w:tcPr>
            <w:tcW w:w="4649" w:type="dxa"/>
          </w:tcPr>
          <w:p w14:paraId="7BD5EC77" w14:textId="1CDEAB80"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negotiable conditions that, where applicable, may be agreed upon by mutual agreement with the users and end users;</w:t>
            </w:r>
          </w:p>
        </w:tc>
      </w:tr>
      <w:tr w:rsidR="009849AC" w:rsidRPr="002C0F16" w14:paraId="0C41FC4E" w14:textId="58DD7C3A" w:rsidTr="00F867DE">
        <w:tc>
          <w:tcPr>
            <w:tcW w:w="4711" w:type="dxa"/>
          </w:tcPr>
          <w:p w14:paraId="4BFB8C4B"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Establecer los límites de transferencia de custodia de los Hidrocarburos, Petrolíferos y Petroquímicos;</w:t>
            </w:r>
          </w:p>
        </w:tc>
        <w:tc>
          <w:tcPr>
            <w:tcW w:w="4649" w:type="dxa"/>
          </w:tcPr>
          <w:p w14:paraId="43F3A598" w14:textId="568519E1"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Establish the limits of custody transfer of hydrocarbons, petroleum products and petrochemicals;</w:t>
            </w:r>
          </w:p>
        </w:tc>
      </w:tr>
      <w:tr w:rsidR="009849AC" w:rsidRPr="002C0F16" w14:paraId="6D5287B2" w14:textId="7524A0F7" w:rsidTr="00F867DE">
        <w:tc>
          <w:tcPr>
            <w:tcW w:w="4711" w:type="dxa"/>
          </w:tcPr>
          <w:p w14:paraId="5A78F4C1"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El procedimiento para la atención de quejas, así como el procedimiento arbitral para la solución de controversias derivadas de la prestación de los servicios permisionados, y</w:t>
            </w:r>
          </w:p>
        </w:tc>
        <w:tc>
          <w:tcPr>
            <w:tcW w:w="4649" w:type="dxa"/>
          </w:tcPr>
          <w:p w14:paraId="19402163" w14:textId="07B45E34"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The procedure for handling complaints, as well as the arbitration procedure for resolving disputes arising from the provision of permitted services, and</w:t>
            </w:r>
          </w:p>
        </w:tc>
      </w:tr>
      <w:tr w:rsidR="009849AC" w:rsidRPr="002C0F16" w14:paraId="5801181E" w14:textId="4C4D9DF8" w:rsidTr="00F867DE">
        <w:tc>
          <w:tcPr>
            <w:tcW w:w="4711" w:type="dxa"/>
          </w:tcPr>
          <w:p w14:paraId="122CB3F9"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El cumplimiento de la Normatividad aplicable.</w:t>
            </w:r>
          </w:p>
        </w:tc>
        <w:tc>
          <w:tcPr>
            <w:tcW w:w="4649" w:type="dxa"/>
          </w:tcPr>
          <w:p w14:paraId="58B2061D" w14:textId="6C10D6C8"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Compliance with applicable legislation.</w:t>
            </w:r>
          </w:p>
        </w:tc>
      </w:tr>
      <w:tr w:rsidR="009849AC" w:rsidRPr="00D0180E" w14:paraId="57726248" w14:textId="40A16A44" w:rsidTr="00F867DE">
        <w:tc>
          <w:tcPr>
            <w:tcW w:w="4711" w:type="dxa"/>
          </w:tcPr>
          <w:p w14:paraId="3D072DBC" w14:textId="77777777" w:rsidR="009849AC" w:rsidRPr="00837D4A" w:rsidRDefault="009849AC" w:rsidP="009849AC">
            <w:pPr>
              <w:pStyle w:val="Texto"/>
              <w:spacing w:line="217" w:lineRule="exact"/>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0B76837B" w14:textId="5327E89F" w:rsidR="009849AC" w:rsidRPr="00837D4A" w:rsidRDefault="009849AC" w:rsidP="009849AC">
            <w:pPr>
              <w:pStyle w:val="Texto"/>
              <w:spacing w:line="217" w:lineRule="exact"/>
              <w:ind w:firstLine="0"/>
              <w:jc w:val="center"/>
              <w:rPr>
                <w:rFonts w:ascii="Verdana" w:hAnsi="Verdana"/>
                <w:b/>
                <w:sz w:val="16"/>
                <w:szCs w:val="16"/>
                <w:lang w:val="en-US"/>
              </w:rPr>
            </w:pPr>
            <w:r w:rsidRPr="00837D4A">
              <w:rPr>
                <w:rFonts w:ascii="Verdana" w:hAnsi="Verdana"/>
                <w:b/>
                <w:sz w:val="16"/>
                <w:szCs w:val="16"/>
                <w:lang w:val="en-US"/>
              </w:rPr>
              <w:t>Second Section</w:t>
            </w:r>
          </w:p>
        </w:tc>
      </w:tr>
      <w:tr w:rsidR="009849AC" w:rsidRPr="00D0180E" w14:paraId="308875C3" w14:textId="5C9EB1D1" w:rsidTr="00F867DE">
        <w:tc>
          <w:tcPr>
            <w:tcW w:w="4711" w:type="dxa"/>
          </w:tcPr>
          <w:p w14:paraId="5A314DF4" w14:textId="77777777" w:rsidR="009849AC" w:rsidRPr="00837D4A" w:rsidRDefault="009849AC" w:rsidP="009849AC">
            <w:pPr>
              <w:pStyle w:val="Texto"/>
              <w:spacing w:line="217" w:lineRule="exact"/>
              <w:ind w:firstLine="0"/>
              <w:jc w:val="center"/>
              <w:rPr>
                <w:rFonts w:ascii="Verdana" w:hAnsi="Verdana"/>
                <w:b/>
                <w:sz w:val="16"/>
                <w:szCs w:val="16"/>
              </w:rPr>
            </w:pPr>
            <w:r w:rsidRPr="00837D4A">
              <w:rPr>
                <w:rFonts w:ascii="Verdana" w:hAnsi="Verdana"/>
                <w:b/>
                <w:sz w:val="16"/>
                <w:szCs w:val="16"/>
              </w:rPr>
              <w:t>De los Contratos de Comercialización</w:t>
            </w:r>
          </w:p>
        </w:tc>
        <w:tc>
          <w:tcPr>
            <w:tcW w:w="4649" w:type="dxa"/>
          </w:tcPr>
          <w:p w14:paraId="4F18783D" w14:textId="3D140D81" w:rsidR="009849AC" w:rsidRPr="00837D4A" w:rsidRDefault="009849AC" w:rsidP="009849AC">
            <w:pPr>
              <w:pStyle w:val="Texto"/>
              <w:spacing w:line="217" w:lineRule="exact"/>
              <w:ind w:firstLine="0"/>
              <w:jc w:val="center"/>
              <w:rPr>
                <w:rFonts w:ascii="Verdana" w:hAnsi="Verdana"/>
                <w:b/>
                <w:sz w:val="16"/>
                <w:szCs w:val="16"/>
                <w:lang w:val="en-US"/>
              </w:rPr>
            </w:pPr>
            <w:r w:rsidRPr="00837D4A">
              <w:rPr>
                <w:rFonts w:ascii="Verdana" w:hAnsi="Verdana"/>
                <w:b/>
                <w:sz w:val="16"/>
                <w:szCs w:val="16"/>
                <w:lang w:val="en-US"/>
              </w:rPr>
              <w:t>Marketing Contracts</w:t>
            </w:r>
          </w:p>
        </w:tc>
      </w:tr>
      <w:tr w:rsidR="009849AC" w:rsidRPr="002C0F16" w14:paraId="5D3E64C5" w14:textId="78C9A9C7" w:rsidTr="00F867DE">
        <w:tc>
          <w:tcPr>
            <w:tcW w:w="4711" w:type="dxa"/>
          </w:tcPr>
          <w:p w14:paraId="7E1A97CC" w14:textId="77777777" w:rsidR="009849AC" w:rsidRPr="00837D4A" w:rsidRDefault="009849AC" w:rsidP="009849AC">
            <w:pPr>
              <w:pStyle w:val="Texto"/>
              <w:spacing w:line="217" w:lineRule="exact"/>
              <w:ind w:firstLine="0"/>
              <w:rPr>
                <w:rFonts w:ascii="Verdana" w:hAnsi="Verdana"/>
                <w:sz w:val="16"/>
                <w:szCs w:val="16"/>
              </w:rPr>
            </w:pPr>
            <w:r w:rsidRPr="00837D4A">
              <w:rPr>
                <w:rFonts w:ascii="Verdana" w:hAnsi="Verdana"/>
                <w:b/>
                <w:sz w:val="16"/>
                <w:szCs w:val="16"/>
              </w:rPr>
              <w:t>Artículo 173.</w:t>
            </w:r>
            <w:r w:rsidRPr="00837D4A">
              <w:rPr>
                <w:rFonts w:ascii="Verdana" w:hAnsi="Verdana"/>
                <w:sz w:val="16"/>
                <w:szCs w:val="16"/>
              </w:rPr>
              <w:t xml:space="preserve"> Para el caso de la Comercialización, la Secretaría o la Comisión, en el ámbito de sus atribuciones según corresponda, deben emitir la Normatividad en la que se establezca el contenido mínimo de los contratos, en la cual se debe contemplar, al menos los siguientes elementos:</w:t>
            </w:r>
          </w:p>
        </w:tc>
        <w:tc>
          <w:tcPr>
            <w:tcW w:w="4649" w:type="dxa"/>
          </w:tcPr>
          <w:p w14:paraId="6B832D87" w14:textId="419F121D"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Article 173. </w:t>
            </w:r>
            <w:r w:rsidRPr="00837D4A">
              <w:rPr>
                <w:rFonts w:ascii="Verdana" w:hAnsi="Verdana"/>
                <w:sz w:val="16"/>
                <w:szCs w:val="16"/>
                <w:lang w:val="en-US"/>
              </w:rPr>
              <w:t>In the case of Marketing, the Secretary or the Commission, within the scope of their powers as appropriate, must issue the legislation establishing the minimum content of the contracts, which must include at least the following elements:</w:t>
            </w:r>
          </w:p>
        </w:tc>
      </w:tr>
      <w:tr w:rsidR="009849AC" w:rsidRPr="00D0180E" w14:paraId="25E42906" w14:textId="22768629" w:rsidTr="00F867DE">
        <w:tc>
          <w:tcPr>
            <w:tcW w:w="4711" w:type="dxa"/>
          </w:tcPr>
          <w:p w14:paraId="3DACB68E"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Declaraciones en materia de:</w:t>
            </w:r>
          </w:p>
        </w:tc>
        <w:tc>
          <w:tcPr>
            <w:tcW w:w="4649" w:type="dxa"/>
          </w:tcPr>
          <w:p w14:paraId="38059EF3" w14:textId="307707E9"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Declarations regarding:</w:t>
            </w:r>
          </w:p>
        </w:tc>
      </w:tr>
      <w:tr w:rsidR="009849AC" w:rsidRPr="00D0180E" w14:paraId="3FF32526" w14:textId="4AAF91C4" w:rsidTr="00F867DE">
        <w:tc>
          <w:tcPr>
            <w:tcW w:w="4711" w:type="dxa"/>
          </w:tcPr>
          <w:p w14:paraId="3D0690F0"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Anticorrupción;</w:t>
            </w:r>
          </w:p>
        </w:tc>
        <w:tc>
          <w:tcPr>
            <w:tcW w:w="4649" w:type="dxa"/>
          </w:tcPr>
          <w:p w14:paraId="4C77DC9A" w14:textId="6177484A"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Anti-corruption;</w:t>
            </w:r>
          </w:p>
        </w:tc>
      </w:tr>
      <w:tr w:rsidR="009849AC" w:rsidRPr="002C0F16" w14:paraId="0375665C" w14:textId="2D56D5F7" w:rsidTr="00F867DE">
        <w:tc>
          <w:tcPr>
            <w:tcW w:w="4711" w:type="dxa"/>
          </w:tcPr>
          <w:p w14:paraId="6DE4F419"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Licitud de los Hidrocarburos, Petrolíferos y Petroquímicos;</w:t>
            </w:r>
          </w:p>
        </w:tc>
        <w:tc>
          <w:tcPr>
            <w:tcW w:w="4649" w:type="dxa"/>
          </w:tcPr>
          <w:p w14:paraId="775B2C49" w14:textId="2519E97A"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Legality of the Hydrocarbons, Petroleum Products and Petrochemicals;</w:t>
            </w:r>
          </w:p>
        </w:tc>
      </w:tr>
      <w:tr w:rsidR="009849AC" w:rsidRPr="002C0F16" w14:paraId="610A5BB5" w14:textId="7FBED843" w:rsidTr="00F867DE">
        <w:tc>
          <w:tcPr>
            <w:tcW w:w="4711" w:type="dxa"/>
          </w:tcPr>
          <w:p w14:paraId="49E493E4"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Aceptación de reconocimiento y cumplimiento de la regulación;</w:t>
            </w:r>
          </w:p>
        </w:tc>
        <w:tc>
          <w:tcPr>
            <w:tcW w:w="4649" w:type="dxa"/>
          </w:tcPr>
          <w:p w14:paraId="577B8A55" w14:textId="514CCBBB"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Acceptance of recognition and compliance with the regulation;</w:t>
            </w:r>
          </w:p>
        </w:tc>
      </w:tr>
      <w:tr w:rsidR="009849AC" w:rsidRPr="002C0F16" w14:paraId="237F3A6D" w14:textId="3976D2CB" w:rsidTr="00F867DE">
        <w:tc>
          <w:tcPr>
            <w:tcW w:w="4711" w:type="dxa"/>
          </w:tcPr>
          <w:p w14:paraId="656D0C56"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No</w:t>
            </w:r>
            <w:r w:rsidRPr="00837D4A">
              <w:rPr>
                <w:rFonts w:ascii="Verdana" w:hAnsi="Verdana"/>
                <w:b/>
                <w:sz w:val="16"/>
                <w:szCs w:val="16"/>
              </w:rPr>
              <w:t xml:space="preserve"> </w:t>
            </w:r>
            <w:r w:rsidRPr="00837D4A">
              <w:rPr>
                <w:rFonts w:ascii="Verdana" w:hAnsi="Verdana"/>
                <w:sz w:val="16"/>
                <w:szCs w:val="16"/>
              </w:rPr>
              <w:t>operaciones con recursos de procedencia ilícita;</w:t>
            </w:r>
          </w:p>
        </w:tc>
        <w:tc>
          <w:tcPr>
            <w:tcW w:w="4649" w:type="dxa"/>
          </w:tcPr>
          <w:p w14:paraId="1E818F83" w14:textId="39A510BB"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No</w:t>
            </w:r>
            <w:r w:rsidRPr="00837D4A">
              <w:rPr>
                <w:rFonts w:ascii="Verdana" w:hAnsi="Verdana"/>
                <w:b/>
                <w:sz w:val="16"/>
                <w:szCs w:val="16"/>
                <w:lang w:val="en-US"/>
              </w:rPr>
              <w:t xml:space="preserve"> </w:t>
            </w:r>
            <w:r w:rsidRPr="00837D4A">
              <w:rPr>
                <w:rFonts w:ascii="Verdana" w:hAnsi="Verdana"/>
                <w:sz w:val="16"/>
                <w:szCs w:val="16"/>
                <w:lang w:val="en-US"/>
              </w:rPr>
              <w:t>operations with resources from illicit origin;</w:t>
            </w:r>
          </w:p>
        </w:tc>
      </w:tr>
      <w:tr w:rsidR="009849AC" w:rsidRPr="002C0F16" w14:paraId="5A34D0B5" w14:textId="6B6B5F4B" w:rsidTr="00F867DE">
        <w:tc>
          <w:tcPr>
            <w:tcW w:w="4711" w:type="dxa"/>
          </w:tcPr>
          <w:p w14:paraId="62F132C0"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Que se cuenta con los permisos y autorizaciones gubernamentales necesarios para la realización de la actividad, y</w:t>
            </w:r>
          </w:p>
        </w:tc>
        <w:tc>
          <w:tcPr>
            <w:tcW w:w="4649" w:type="dxa"/>
          </w:tcPr>
          <w:p w14:paraId="11339DC3" w14:textId="04E65383"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That the necessary government permits and authorizations are in place to carry out the activity, and</w:t>
            </w:r>
          </w:p>
        </w:tc>
      </w:tr>
      <w:tr w:rsidR="009849AC" w:rsidRPr="002C0F16" w14:paraId="68E59B0B" w14:textId="0437E955" w:rsidTr="00F867DE">
        <w:tc>
          <w:tcPr>
            <w:tcW w:w="4711" w:type="dxa"/>
          </w:tcPr>
          <w:p w14:paraId="37378B3E"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f)</w:t>
            </w:r>
            <w:r w:rsidRPr="00837D4A">
              <w:rPr>
                <w:rFonts w:ascii="Verdana" w:hAnsi="Verdana"/>
                <w:b/>
                <w:sz w:val="16"/>
                <w:szCs w:val="16"/>
              </w:rPr>
              <w:tab/>
            </w:r>
            <w:r w:rsidRPr="00837D4A">
              <w:rPr>
                <w:rFonts w:ascii="Verdana" w:hAnsi="Verdana"/>
                <w:sz w:val="16"/>
                <w:szCs w:val="16"/>
              </w:rPr>
              <w:t>Actividad económica vinculada a la actividad permisionada;</w:t>
            </w:r>
          </w:p>
        </w:tc>
        <w:tc>
          <w:tcPr>
            <w:tcW w:w="4649" w:type="dxa"/>
          </w:tcPr>
          <w:p w14:paraId="6FFF0ACA" w14:textId="131E83C9"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f) </w:t>
            </w:r>
            <w:r w:rsidRPr="00837D4A">
              <w:rPr>
                <w:rFonts w:ascii="Verdana" w:hAnsi="Verdana"/>
                <w:b/>
                <w:sz w:val="16"/>
                <w:szCs w:val="16"/>
                <w:lang w:val="en-US"/>
              </w:rPr>
              <w:tab/>
            </w:r>
            <w:r w:rsidRPr="00837D4A">
              <w:rPr>
                <w:rFonts w:ascii="Verdana" w:hAnsi="Verdana"/>
                <w:sz w:val="16"/>
                <w:szCs w:val="16"/>
                <w:lang w:val="en-US"/>
              </w:rPr>
              <w:t>Economic activity linked to the permitted activity;</w:t>
            </w:r>
          </w:p>
        </w:tc>
      </w:tr>
      <w:tr w:rsidR="009849AC" w:rsidRPr="00D0180E" w14:paraId="1E989008" w14:textId="264DC7F8" w:rsidTr="00F867DE">
        <w:tc>
          <w:tcPr>
            <w:tcW w:w="4711" w:type="dxa"/>
          </w:tcPr>
          <w:p w14:paraId="4B79E6D0"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Definiciones;</w:t>
            </w:r>
          </w:p>
        </w:tc>
        <w:tc>
          <w:tcPr>
            <w:tcW w:w="4649" w:type="dxa"/>
          </w:tcPr>
          <w:p w14:paraId="10FD2DD1" w14:textId="14B27C88"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rPr>
              <w:t xml:space="preserve">II. </w:t>
            </w:r>
            <w:r w:rsidRPr="00837D4A">
              <w:rPr>
                <w:rFonts w:ascii="Verdana" w:hAnsi="Verdana"/>
                <w:b/>
                <w:sz w:val="16"/>
                <w:szCs w:val="16"/>
              </w:rPr>
              <w:tab/>
            </w:r>
            <w:proofErr w:type="spellStart"/>
            <w:r w:rsidRPr="00837D4A">
              <w:rPr>
                <w:rFonts w:ascii="Verdana" w:hAnsi="Verdana"/>
                <w:sz w:val="16"/>
                <w:szCs w:val="16"/>
              </w:rPr>
              <w:t>Definitions</w:t>
            </w:r>
            <w:proofErr w:type="spellEnd"/>
            <w:r w:rsidRPr="00837D4A">
              <w:rPr>
                <w:rFonts w:ascii="Verdana" w:hAnsi="Verdana"/>
                <w:sz w:val="16"/>
                <w:szCs w:val="16"/>
              </w:rPr>
              <w:t>;</w:t>
            </w:r>
          </w:p>
        </w:tc>
      </w:tr>
      <w:tr w:rsidR="009849AC" w:rsidRPr="002C0F16" w14:paraId="1AEBB6AB" w14:textId="5BD371A8" w:rsidTr="00F867DE">
        <w:tc>
          <w:tcPr>
            <w:tcW w:w="4711" w:type="dxa"/>
          </w:tcPr>
          <w:p w14:paraId="5DDA4DE8"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Objeto del contrato;</w:t>
            </w:r>
          </w:p>
        </w:tc>
        <w:tc>
          <w:tcPr>
            <w:tcW w:w="4649" w:type="dxa"/>
          </w:tcPr>
          <w:p w14:paraId="59BC25DA" w14:textId="1E601DF6"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Purpose of the contract;</w:t>
            </w:r>
          </w:p>
        </w:tc>
      </w:tr>
      <w:tr w:rsidR="009849AC" w:rsidRPr="002C0F16" w14:paraId="1C4D3B2F" w14:textId="220504A6" w:rsidTr="00F867DE">
        <w:tc>
          <w:tcPr>
            <w:tcW w:w="4711" w:type="dxa"/>
          </w:tcPr>
          <w:p w14:paraId="5FCB7B7C"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Transmisión de la propiedad y entrega del producto;</w:t>
            </w:r>
          </w:p>
        </w:tc>
        <w:tc>
          <w:tcPr>
            <w:tcW w:w="4649" w:type="dxa"/>
          </w:tcPr>
          <w:p w14:paraId="35900FB9" w14:textId="686A34D1"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Transfer of ownership and delivery of the product;</w:t>
            </w:r>
          </w:p>
        </w:tc>
      </w:tr>
      <w:tr w:rsidR="009849AC" w:rsidRPr="002C0F16" w14:paraId="265A565B" w14:textId="72B8079E" w:rsidTr="00F867DE">
        <w:tc>
          <w:tcPr>
            <w:tcW w:w="4711" w:type="dxa"/>
          </w:tcPr>
          <w:p w14:paraId="59E44C92"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Volumen contractual y medición;</w:t>
            </w:r>
          </w:p>
        </w:tc>
        <w:tc>
          <w:tcPr>
            <w:tcW w:w="4649" w:type="dxa"/>
          </w:tcPr>
          <w:p w14:paraId="19092951" w14:textId="4D791695"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Contractual volume and measurement;</w:t>
            </w:r>
          </w:p>
        </w:tc>
      </w:tr>
      <w:tr w:rsidR="009849AC" w:rsidRPr="002C0F16" w14:paraId="57D8FB4C" w14:textId="0F82D814" w:rsidTr="00F867DE">
        <w:tc>
          <w:tcPr>
            <w:tcW w:w="4711" w:type="dxa"/>
          </w:tcPr>
          <w:p w14:paraId="72AFA850"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Programa de entregas y modificaciones;</w:t>
            </w:r>
          </w:p>
        </w:tc>
        <w:tc>
          <w:tcPr>
            <w:tcW w:w="4649" w:type="dxa"/>
          </w:tcPr>
          <w:p w14:paraId="29A82DF7" w14:textId="3964381B"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Delivery and modification program;</w:t>
            </w:r>
          </w:p>
        </w:tc>
      </w:tr>
      <w:tr w:rsidR="009849AC" w:rsidRPr="00D0180E" w14:paraId="7F499F8B" w14:textId="33F82723" w:rsidTr="00F867DE">
        <w:tc>
          <w:tcPr>
            <w:tcW w:w="4711" w:type="dxa"/>
          </w:tcPr>
          <w:p w14:paraId="3A2D84BA"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Modalidad de entrega;</w:t>
            </w:r>
          </w:p>
        </w:tc>
        <w:tc>
          <w:tcPr>
            <w:tcW w:w="4649" w:type="dxa"/>
          </w:tcPr>
          <w:p w14:paraId="52022B5A" w14:textId="54C945D0"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rPr>
              <w:t xml:space="preserve">VII. </w:t>
            </w:r>
            <w:r w:rsidRPr="00837D4A">
              <w:rPr>
                <w:rFonts w:ascii="Verdana" w:hAnsi="Verdana"/>
                <w:b/>
                <w:sz w:val="16"/>
                <w:szCs w:val="16"/>
              </w:rPr>
              <w:tab/>
            </w:r>
            <w:proofErr w:type="spellStart"/>
            <w:r w:rsidRPr="00837D4A">
              <w:rPr>
                <w:rFonts w:ascii="Verdana" w:hAnsi="Verdana"/>
                <w:sz w:val="16"/>
                <w:szCs w:val="16"/>
              </w:rPr>
              <w:t>Delivery</w:t>
            </w:r>
            <w:proofErr w:type="spellEnd"/>
            <w:r w:rsidRPr="00837D4A">
              <w:rPr>
                <w:rFonts w:ascii="Verdana" w:hAnsi="Verdana"/>
                <w:sz w:val="16"/>
                <w:szCs w:val="16"/>
              </w:rPr>
              <w:t xml:space="preserve"> </w:t>
            </w:r>
            <w:proofErr w:type="spellStart"/>
            <w:r w:rsidRPr="00837D4A">
              <w:rPr>
                <w:rFonts w:ascii="Verdana" w:hAnsi="Verdana"/>
                <w:sz w:val="16"/>
                <w:szCs w:val="16"/>
              </w:rPr>
              <w:t>method</w:t>
            </w:r>
            <w:proofErr w:type="spellEnd"/>
            <w:r w:rsidRPr="00837D4A">
              <w:rPr>
                <w:rFonts w:ascii="Verdana" w:hAnsi="Verdana"/>
                <w:sz w:val="16"/>
                <w:szCs w:val="16"/>
              </w:rPr>
              <w:t>;</w:t>
            </w:r>
          </w:p>
        </w:tc>
      </w:tr>
      <w:tr w:rsidR="009849AC" w:rsidRPr="002C0F16" w14:paraId="6928B39E" w14:textId="3845FA08" w:rsidTr="00F867DE">
        <w:tc>
          <w:tcPr>
            <w:tcW w:w="4711" w:type="dxa"/>
          </w:tcPr>
          <w:p w14:paraId="467A9EBE"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Puntos de entrega y recepción;</w:t>
            </w:r>
          </w:p>
        </w:tc>
        <w:tc>
          <w:tcPr>
            <w:tcW w:w="4649" w:type="dxa"/>
          </w:tcPr>
          <w:p w14:paraId="6F95D2AE" w14:textId="48882CE1"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Delivery and reception points;</w:t>
            </w:r>
          </w:p>
        </w:tc>
      </w:tr>
      <w:tr w:rsidR="009849AC" w:rsidRPr="00D0180E" w14:paraId="0DEAE70D" w14:textId="61C04BE1" w:rsidTr="00F867DE">
        <w:tc>
          <w:tcPr>
            <w:tcW w:w="4711" w:type="dxa"/>
          </w:tcPr>
          <w:p w14:paraId="597F9102"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IX.</w:t>
            </w:r>
            <w:r w:rsidRPr="00837D4A">
              <w:rPr>
                <w:rFonts w:ascii="Verdana" w:hAnsi="Verdana"/>
                <w:b/>
                <w:sz w:val="16"/>
                <w:szCs w:val="16"/>
              </w:rPr>
              <w:tab/>
            </w:r>
            <w:r w:rsidRPr="00837D4A">
              <w:rPr>
                <w:rFonts w:ascii="Verdana" w:hAnsi="Verdana"/>
                <w:sz w:val="16"/>
                <w:szCs w:val="16"/>
              </w:rPr>
              <w:t>Calidad;</w:t>
            </w:r>
          </w:p>
        </w:tc>
        <w:tc>
          <w:tcPr>
            <w:tcW w:w="4649" w:type="dxa"/>
          </w:tcPr>
          <w:p w14:paraId="292BDB85" w14:textId="2B2E984B"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rPr>
              <w:t xml:space="preserve">IX. </w:t>
            </w:r>
            <w:r w:rsidRPr="00837D4A">
              <w:rPr>
                <w:rFonts w:ascii="Verdana" w:hAnsi="Verdana"/>
                <w:b/>
                <w:sz w:val="16"/>
                <w:szCs w:val="16"/>
              </w:rPr>
              <w:tab/>
            </w:r>
            <w:proofErr w:type="spellStart"/>
            <w:r w:rsidRPr="00837D4A">
              <w:rPr>
                <w:rFonts w:ascii="Verdana" w:hAnsi="Verdana"/>
                <w:sz w:val="16"/>
                <w:szCs w:val="16"/>
              </w:rPr>
              <w:t>Quality</w:t>
            </w:r>
            <w:proofErr w:type="spellEnd"/>
            <w:r w:rsidRPr="00837D4A">
              <w:rPr>
                <w:rFonts w:ascii="Verdana" w:hAnsi="Verdana"/>
                <w:sz w:val="16"/>
                <w:szCs w:val="16"/>
              </w:rPr>
              <w:t>;</w:t>
            </w:r>
          </w:p>
        </w:tc>
      </w:tr>
      <w:tr w:rsidR="009849AC" w:rsidRPr="00D0180E" w14:paraId="4F19424B" w14:textId="12913C8F" w:rsidTr="00F867DE">
        <w:tc>
          <w:tcPr>
            <w:tcW w:w="4711" w:type="dxa"/>
          </w:tcPr>
          <w:p w14:paraId="07AE91BA"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X.</w:t>
            </w:r>
            <w:r w:rsidRPr="00837D4A">
              <w:rPr>
                <w:rFonts w:ascii="Verdana" w:hAnsi="Verdana"/>
                <w:b/>
                <w:sz w:val="16"/>
                <w:szCs w:val="16"/>
              </w:rPr>
              <w:tab/>
            </w:r>
            <w:r w:rsidRPr="00837D4A">
              <w:rPr>
                <w:rFonts w:ascii="Verdana" w:hAnsi="Verdana"/>
                <w:sz w:val="16"/>
                <w:szCs w:val="16"/>
              </w:rPr>
              <w:t>Precio y contraprestaciones;</w:t>
            </w:r>
          </w:p>
        </w:tc>
        <w:tc>
          <w:tcPr>
            <w:tcW w:w="4649" w:type="dxa"/>
          </w:tcPr>
          <w:p w14:paraId="68CCF91D" w14:textId="359545F2"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X. </w:t>
            </w:r>
            <w:r w:rsidRPr="00837D4A">
              <w:rPr>
                <w:rFonts w:ascii="Verdana" w:hAnsi="Verdana"/>
                <w:b/>
                <w:sz w:val="16"/>
                <w:szCs w:val="16"/>
                <w:lang w:val="en-US"/>
              </w:rPr>
              <w:tab/>
            </w:r>
            <w:r w:rsidRPr="00837D4A">
              <w:rPr>
                <w:rFonts w:ascii="Verdana" w:hAnsi="Verdana"/>
                <w:sz w:val="16"/>
                <w:szCs w:val="16"/>
                <w:lang w:val="en-US"/>
              </w:rPr>
              <w:t>Price and consideration;</w:t>
            </w:r>
          </w:p>
        </w:tc>
      </w:tr>
      <w:tr w:rsidR="009849AC" w:rsidRPr="002C0F16" w14:paraId="06251B05" w14:textId="1A7DAC19" w:rsidTr="00F867DE">
        <w:tc>
          <w:tcPr>
            <w:tcW w:w="4711" w:type="dxa"/>
          </w:tcPr>
          <w:p w14:paraId="17111A27" w14:textId="77777777" w:rsidR="009849AC" w:rsidRPr="00837D4A" w:rsidRDefault="009849AC" w:rsidP="009849AC">
            <w:pPr>
              <w:pStyle w:val="Texto"/>
              <w:spacing w:line="217" w:lineRule="exact"/>
              <w:ind w:firstLine="0"/>
              <w:rPr>
                <w:rFonts w:ascii="Verdana" w:hAnsi="Verdana"/>
                <w:b/>
                <w:sz w:val="16"/>
                <w:szCs w:val="16"/>
              </w:rPr>
            </w:pPr>
            <w:r w:rsidRPr="00837D4A">
              <w:rPr>
                <w:rFonts w:ascii="Verdana" w:hAnsi="Verdana"/>
                <w:b/>
                <w:sz w:val="16"/>
                <w:szCs w:val="16"/>
              </w:rPr>
              <w:t>XI.</w:t>
            </w:r>
            <w:r w:rsidRPr="00837D4A">
              <w:rPr>
                <w:rFonts w:ascii="Verdana" w:hAnsi="Verdana"/>
                <w:b/>
                <w:sz w:val="16"/>
                <w:szCs w:val="16"/>
              </w:rPr>
              <w:tab/>
            </w:r>
            <w:r w:rsidRPr="00837D4A">
              <w:rPr>
                <w:rFonts w:ascii="Verdana" w:hAnsi="Verdana"/>
                <w:sz w:val="16"/>
                <w:szCs w:val="16"/>
              </w:rPr>
              <w:t>Facturación y forma de pago;</w:t>
            </w:r>
          </w:p>
        </w:tc>
        <w:tc>
          <w:tcPr>
            <w:tcW w:w="4649" w:type="dxa"/>
          </w:tcPr>
          <w:p w14:paraId="623FF766" w14:textId="3AA92071" w:rsidR="009849AC" w:rsidRPr="00837D4A" w:rsidRDefault="009849AC" w:rsidP="009849AC">
            <w:pPr>
              <w:pStyle w:val="Texto"/>
              <w:spacing w:line="217" w:lineRule="exact"/>
              <w:ind w:firstLine="0"/>
              <w:rPr>
                <w:rFonts w:ascii="Verdana" w:hAnsi="Verdana"/>
                <w:b/>
                <w:sz w:val="16"/>
                <w:szCs w:val="16"/>
                <w:lang w:val="en-US"/>
              </w:rPr>
            </w:pPr>
            <w:r w:rsidRPr="00837D4A">
              <w:rPr>
                <w:rFonts w:ascii="Verdana" w:hAnsi="Verdana"/>
                <w:b/>
                <w:sz w:val="16"/>
                <w:szCs w:val="16"/>
                <w:lang w:val="en-US"/>
              </w:rPr>
              <w:t xml:space="preserve">XI. </w:t>
            </w:r>
            <w:r w:rsidRPr="00837D4A">
              <w:rPr>
                <w:rFonts w:ascii="Verdana" w:hAnsi="Verdana"/>
                <w:b/>
                <w:sz w:val="16"/>
                <w:szCs w:val="16"/>
                <w:lang w:val="en-US"/>
              </w:rPr>
              <w:tab/>
            </w:r>
            <w:r w:rsidRPr="00837D4A">
              <w:rPr>
                <w:rFonts w:ascii="Verdana" w:hAnsi="Verdana"/>
                <w:sz w:val="16"/>
                <w:szCs w:val="16"/>
                <w:lang w:val="en-US"/>
              </w:rPr>
              <w:t>Billing and payment method;</w:t>
            </w:r>
          </w:p>
        </w:tc>
      </w:tr>
      <w:tr w:rsidR="009849AC" w:rsidRPr="002C0F16" w14:paraId="4B0FA990" w14:textId="4B02E65C" w:rsidTr="00F867DE">
        <w:tc>
          <w:tcPr>
            <w:tcW w:w="4711" w:type="dxa"/>
          </w:tcPr>
          <w:p w14:paraId="588A41EB"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XII.</w:t>
            </w:r>
            <w:r w:rsidRPr="00837D4A">
              <w:rPr>
                <w:rFonts w:ascii="Verdana" w:hAnsi="Verdana"/>
                <w:b/>
                <w:sz w:val="16"/>
                <w:szCs w:val="16"/>
              </w:rPr>
              <w:tab/>
            </w:r>
            <w:r w:rsidRPr="00837D4A">
              <w:rPr>
                <w:rFonts w:ascii="Verdana" w:hAnsi="Verdana"/>
                <w:sz w:val="16"/>
                <w:szCs w:val="16"/>
              </w:rPr>
              <w:t>Bonificaciones y, en su caso, penalizaciones;</w:t>
            </w:r>
          </w:p>
        </w:tc>
        <w:tc>
          <w:tcPr>
            <w:tcW w:w="4649" w:type="dxa"/>
          </w:tcPr>
          <w:p w14:paraId="494C3D40" w14:textId="054E6C7E"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XII. </w:t>
            </w:r>
            <w:r w:rsidRPr="00837D4A">
              <w:rPr>
                <w:rFonts w:ascii="Verdana" w:hAnsi="Verdana"/>
                <w:b/>
                <w:sz w:val="16"/>
                <w:szCs w:val="16"/>
                <w:lang w:val="en-US"/>
              </w:rPr>
              <w:tab/>
            </w:r>
            <w:r w:rsidRPr="00837D4A">
              <w:rPr>
                <w:rFonts w:ascii="Verdana" w:hAnsi="Verdana"/>
                <w:sz w:val="16"/>
                <w:szCs w:val="16"/>
                <w:lang w:val="en-US"/>
              </w:rPr>
              <w:t>Bonuses and, where applicable, penalties;</w:t>
            </w:r>
          </w:p>
        </w:tc>
      </w:tr>
      <w:tr w:rsidR="009849AC" w:rsidRPr="00D0180E" w14:paraId="2BFE8E0D" w14:textId="0CD69453" w:rsidTr="00F867DE">
        <w:tc>
          <w:tcPr>
            <w:tcW w:w="4711" w:type="dxa"/>
          </w:tcPr>
          <w:p w14:paraId="32E8E74F"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XIII.</w:t>
            </w:r>
            <w:r w:rsidRPr="00837D4A">
              <w:rPr>
                <w:rFonts w:ascii="Verdana" w:hAnsi="Verdana"/>
                <w:b/>
                <w:sz w:val="16"/>
                <w:szCs w:val="16"/>
              </w:rPr>
              <w:tab/>
            </w:r>
            <w:r w:rsidRPr="00837D4A">
              <w:rPr>
                <w:rFonts w:ascii="Verdana" w:hAnsi="Verdana"/>
                <w:sz w:val="16"/>
                <w:szCs w:val="16"/>
              </w:rPr>
              <w:t>Servicios de valor agregado;</w:t>
            </w:r>
          </w:p>
        </w:tc>
        <w:tc>
          <w:tcPr>
            <w:tcW w:w="4649" w:type="dxa"/>
          </w:tcPr>
          <w:p w14:paraId="1F04DFFD" w14:textId="2CA4BE4B"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XIII. </w:t>
            </w:r>
            <w:r w:rsidRPr="00837D4A">
              <w:rPr>
                <w:rFonts w:ascii="Verdana" w:hAnsi="Verdana"/>
                <w:b/>
                <w:sz w:val="16"/>
                <w:szCs w:val="16"/>
                <w:lang w:val="en-US"/>
              </w:rPr>
              <w:tab/>
            </w:r>
            <w:r w:rsidRPr="00837D4A">
              <w:rPr>
                <w:rFonts w:ascii="Verdana" w:hAnsi="Verdana"/>
                <w:sz w:val="16"/>
                <w:szCs w:val="16"/>
                <w:lang w:val="en-US"/>
              </w:rPr>
              <w:t>Value-added services;</w:t>
            </w:r>
          </w:p>
        </w:tc>
      </w:tr>
      <w:tr w:rsidR="009849AC" w:rsidRPr="002C0F16" w14:paraId="0E0519E9" w14:textId="1911AA5B" w:rsidTr="00F867DE">
        <w:tc>
          <w:tcPr>
            <w:tcW w:w="4711" w:type="dxa"/>
          </w:tcPr>
          <w:p w14:paraId="5F9C6615"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XIV.</w:t>
            </w:r>
            <w:r w:rsidRPr="00837D4A">
              <w:rPr>
                <w:rFonts w:ascii="Verdana" w:hAnsi="Verdana"/>
                <w:b/>
                <w:sz w:val="16"/>
                <w:szCs w:val="16"/>
              </w:rPr>
              <w:tab/>
            </w:r>
            <w:r w:rsidRPr="00837D4A">
              <w:rPr>
                <w:rFonts w:ascii="Verdana" w:hAnsi="Verdana"/>
                <w:sz w:val="16"/>
                <w:szCs w:val="16"/>
              </w:rPr>
              <w:t>Responsabilidades y obligaciones de las partes;</w:t>
            </w:r>
          </w:p>
        </w:tc>
        <w:tc>
          <w:tcPr>
            <w:tcW w:w="4649" w:type="dxa"/>
          </w:tcPr>
          <w:p w14:paraId="55C1166F" w14:textId="472516A4"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XIV. </w:t>
            </w:r>
            <w:r w:rsidRPr="00837D4A">
              <w:rPr>
                <w:rFonts w:ascii="Verdana" w:hAnsi="Verdana"/>
                <w:b/>
                <w:sz w:val="16"/>
                <w:szCs w:val="16"/>
                <w:lang w:val="en-US"/>
              </w:rPr>
              <w:tab/>
            </w:r>
            <w:r w:rsidRPr="00837D4A">
              <w:rPr>
                <w:rFonts w:ascii="Verdana" w:hAnsi="Verdana"/>
                <w:sz w:val="16"/>
                <w:szCs w:val="16"/>
                <w:lang w:val="en-US"/>
              </w:rPr>
              <w:t>Responsibilities and obligations of the parties;</w:t>
            </w:r>
          </w:p>
        </w:tc>
      </w:tr>
      <w:tr w:rsidR="009849AC" w:rsidRPr="002C0F16" w14:paraId="78EE61F1" w14:textId="6B86950F" w:rsidTr="00F867DE">
        <w:tc>
          <w:tcPr>
            <w:tcW w:w="4711" w:type="dxa"/>
          </w:tcPr>
          <w:p w14:paraId="74BFB0CB"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lastRenderedPageBreak/>
              <w:t>XV.</w:t>
            </w:r>
            <w:r w:rsidRPr="00837D4A">
              <w:rPr>
                <w:rFonts w:ascii="Verdana" w:hAnsi="Verdana"/>
                <w:b/>
                <w:sz w:val="16"/>
                <w:szCs w:val="16"/>
              </w:rPr>
              <w:tab/>
            </w:r>
            <w:r w:rsidRPr="00837D4A">
              <w:rPr>
                <w:rFonts w:ascii="Verdana" w:hAnsi="Verdana"/>
                <w:sz w:val="16"/>
                <w:szCs w:val="16"/>
              </w:rPr>
              <w:t>Caso fortuito o fuerza mayor;</w:t>
            </w:r>
          </w:p>
        </w:tc>
        <w:tc>
          <w:tcPr>
            <w:tcW w:w="4649" w:type="dxa"/>
          </w:tcPr>
          <w:p w14:paraId="25116081" w14:textId="3C4BA3CB"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XV. </w:t>
            </w:r>
            <w:r w:rsidRPr="00837D4A">
              <w:rPr>
                <w:rFonts w:ascii="Verdana" w:hAnsi="Verdana"/>
                <w:b/>
                <w:sz w:val="16"/>
                <w:szCs w:val="16"/>
                <w:lang w:val="en-US"/>
              </w:rPr>
              <w:tab/>
            </w:r>
            <w:r w:rsidRPr="00837D4A">
              <w:rPr>
                <w:rFonts w:ascii="Verdana" w:hAnsi="Verdana"/>
                <w:sz w:val="16"/>
                <w:szCs w:val="16"/>
                <w:lang w:val="en-US"/>
              </w:rPr>
              <w:t>Unforeseen event or force majeure;</w:t>
            </w:r>
          </w:p>
        </w:tc>
      </w:tr>
      <w:tr w:rsidR="009849AC" w:rsidRPr="002C0F16" w14:paraId="122E1CDE" w14:textId="26AFF8AD" w:rsidTr="00F867DE">
        <w:tc>
          <w:tcPr>
            <w:tcW w:w="4711" w:type="dxa"/>
          </w:tcPr>
          <w:p w14:paraId="6C3040AD"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XVI.</w:t>
            </w:r>
            <w:r w:rsidRPr="00837D4A">
              <w:rPr>
                <w:rFonts w:ascii="Verdana" w:hAnsi="Verdana"/>
                <w:b/>
                <w:sz w:val="16"/>
                <w:szCs w:val="16"/>
              </w:rPr>
              <w:tab/>
            </w:r>
            <w:r w:rsidRPr="00837D4A">
              <w:rPr>
                <w:rFonts w:ascii="Verdana" w:hAnsi="Verdana"/>
                <w:sz w:val="16"/>
                <w:szCs w:val="16"/>
              </w:rPr>
              <w:t>Condiciones especiales que pueden pactarse;</w:t>
            </w:r>
          </w:p>
        </w:tc>
        <w:tc>
          <w:tcPr>
            <w:tcW w:w="4649" w:type="dxa"/>
          </w:tcPr>
          <w:p w14:paraId="47E3C716" w14:textId="2E340E8D"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XVI. </w:t>
            </w:r>
            <w:r w:rsidRPr="00837D4A">
              <w:rPr>
                <w:rFonts w:ascii="Verdana" w:hAnsi="Verdana"/>
                <w:b/>
                <w:sz w:val="16"/>
                <w:szCs w:val="16"/>
                <w:lang w:val="en-US"/>
              </w:rPr>
              <w:tab/>
            </w:r>
            <w:r w:rsidRPr="00837D4A">
              <w:rPr>
                <w:rFonts w:ascii="Verdana" w:hAnsi="Verdana"/>
                <w:sz w:val="16"/>
                <w:szCs w:val="16"/>
                <w:lang w:val="en-US"/>
              </w:rPr>
              <w:t>Special conditions that may be agreed upon;</w:t>
            </w:r>
          </w:p>
        </w:tc>
      </w:tr>
      <w:tr w:rsidR="009849AC" w:rsidRPr="00D0180E" w14:paraId="05A50C92" w14:textId="0859605A" w:rsidTr="00F867DE">
        <w:tc>
          <w:tcPr>
            <w:tcW w:w="4711" w:type="dxa"/>
          </w:tcPr>
          <w:p w14:paraId="0E163968"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XVII.</w:t>
            </w:r>
            <w:r w:rsidRPr="00837D4A">
              <w:rPr>
                <w:rFonts w:ascii="Verdana" w:hAnsi="Verdana"/>
                <w:b/>
                <w:sz w:val="16"/>
                <w:szCs w:val="16"/>
              </w:rPr>
              <w:tab/>
            </w:r>
            <w:r w:rsidRPr="00837D4A">
              <w:rPr>
                <w:rFonts w:ascii="Verdana" w:hAnsi="Verdana"/>
                <w:sz w:val="16"/>
                <w:szCs w:val="16"/>
              </w:rPr>
              <w:t>Vigencia;</w:t>
            </w:r>
          </w:p>
        </w:tc>
        <w:tc>
          <w:tcPr>
            <w:tcW w:w="4649" w:type="dxa"/>
          </w:tcPr>
          <w:p w14:paraId="67D20980" w14:textId="1E1F0BAB"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XVII. </w:t>
            </w:r>
            <w:r w:rsidRPr="00837D4A">
              <w:rPr>
                <w:rFonts w:ascii="Verdana" w:hAnsi="Verdana"/>
                <w:b/>
                <w:sz w:val="16"/>
                <w:szCs w:val="16"/>
                <w:lang w:val="en-US"/>
              </w:rPr>
              <w:tab/>
            </w:r>
            <w:r w:rsidRPr="00837D4A">
              <w:rPr>
                <w:rFonts w:ascii="Verdana" w:hAnsi="Verdana"/>
                <w:sz w:val="16"/>
                <w:szCs w:val="16"/>
                <w:lang w:val="en-US"/>
              </w:rPr>
              <w:t>Validity;</w:t>
            </w:r>
          </w:p>
        </w:tc>
      </w:tr>
      <w:tr w:rsidR="009849AC" w:rsidRPr="00D0180E" w14:paraId="57DDE9CF" w14:textId="7FC3652A" w:rsidTr="00F867DE">
        <w:tc>
          <w:tcPr>
            <w:tcW w:w="4711" w:type="dxa"/>
          </w:tcPr>
          <w:p w14:paraId="27E002F3"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XVIII.</w:t>
            </w:r>
            <w:r w:rsidRPr="00837D4A">
              <w:rPr>
                <w:rFonts w:ascii="Verdana" w:hAnsi="Verdana"/>
                <w:b/>
                <w:sz w:val="16"/>
                <w:szCs w:val="16"/>
              </w:rPr>
              <w:tab/>
            </w:r>
            <w:r w:rsidRPr="00837D4A">
              <w:rPr>
                <w:rFonts w:ascii="Verdana" w:hAnsi="Verdana"/>
                <w:sz w:val="16"/>
                <w:szCs w:val="16"/>
              </w:rPr>
              <w:t>Solución de controversias, y</w:t>
            </w:r>
          </w:p>
        </w:tc>
        <w:tc>
          <w:tcPr>
            <w:tcW w:w="4649" w:type="dxa"/>
          </w:tcPr>
          <w:p w14:paraId="060CEB28" w14:textId="280F6DCC"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XVIII. </w:t>
            </w:r>
            <w:r w:rsidRPr="00837D4A">
              <w:rPr>
                <w:rFonts w:ascii="Verdana" w:hAnsi="Verdana"/>
                <w:b/>
                <w:sz w:val="16"/>
                <w:szCs w:val="16"/>
                <w:lang w:val="en-US"/>
              </w:rPr>
              <w:tab/>
            </w:r>
            <w:r w:rsidRPr="00837D4A">
              <w:rPr>
                <w:rFonts w:ascii="Verdana" w:hAnsi="Verdana"/>
                <w:sz w:val="16"/>
                <w:szCs w:val="16"/>
                <w:lang w:val="en-US"/>
              </w:rPr>
              <w:t>Dispute settlement, and</w:t>
            </w:r>
          </w:p>
        </w:tc>
      </w:tr>
      <w:tr w:rsidR="009849AC" w:rsidRPr="00D0180E" w14:paraId="2995200F" w14:textId="38A60A6A" w:rsidTr="00F867DE">
        <w:tc>
          <w:tcPr>
            <w:tcW w:w="4711" w:type="dxa"/>
          </w:tcPr>
          <w:p w14:paraId="775F999D"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XIX.</w:t>
            </w:r>
            <w:r w:rsidRPr="00837D4A">
              <w:rPr>
                <w:rFonts w:ascii="Verdana" w:hAnsi="Verdana"/>
                <w:b/>
                <w:sz w:val="16"/>
                <w:szCs w:val="16"/>
              </w:rPr>
              <w:tab/>
            </w:r>
            <w:r w:rsidRPr="00837D4A">
              <w:rPr>
                <w:rFonts w:ascii="Verdana" w:hAnsi="Verdana"/>
                <w:sz w:val="16"/>
                <w:szCs w:val="16"/>
              </w:rPr>
              <w:t>Suspensión del servicio.</w:t>
            </w:r>
          </w:p>
        </w:tc>
        <w:tc>
          <w:tcPr>
            <w:tcW w:w="4649" w:type="dxa"/>
          </w:tcPr>
          <w:p w14:paraId="54EA56C7" w14:textId="72F3FA4E"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XIX. </w:t>
            </w:r>
            <w:r w:rsidRPr="00837D4A">
              <w:rPr>
                <w:rFonts w:ascii="Verdana" w:hAnsi="Verdana"/>
                <w:b/>
                <w:sz w:val="16"/>
                <w:szCs w:val="16"/>
                <w:lang w:val="en-US"/>
              </w:rPr>
              <w:tab/>
            </w:r>
            <w:r w:rsidRPr="00837D4A">
              <w:rPr>
                <w:rFonts w:ascii="Verdana" w:hAnsi="Verdana"/>
                <w:sz w:val="16"/>
                <w:szCs w:val="16"/>
                <w:lang w:val="en-US"/>
              </w:rPr>
              <w:t>Suspension of service.</w:t>
            </w:r>
          </w:p>
        </w:tc>
      </w:tr>
      <w:tr w:rsidR="009849AC" w:rsidRPr="00D0180E" w14:paraId="4C5099EF" w14:textId="3D0FFB11" w:rsidTr="00F867DE">
        <w:tc>
          <w:tcPr>
            <w:tcW w:w="4711" w:type="dxa"/>
          </w:tcPr>
          <w:p w14:paraId="58FBBB63"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Sección Tercera</w:t>
            </w:r>
          </w:p>
        </w:tc>
        <w:tc>
          <w:tcPr>
            <w:tcW w:w="4649" w:type="dxa"/>
          </w:tcPr>
          <w:p w14:paraId="291F8ECC" w14:textId="14D68251"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Third Section</w:t>
            </w:r>
          </w:p>
        </w:tc>
      </w:tr>
      <w:tr w:rsidR="009849AC" w:rsidRPr="002C0F16" w14:paraId="48306FB9" w14:textId="3AB5F6DC" w:rsidTr="00F867DE">
        <w:tc>
          <w:tcPr>
            <w:tcW w:w="4711" w:type="dxa"/>
          </w:tcPr>
          <w:p w14:paraId="4B2E3EEA"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De la Suspensión del Servicio o Actividad</w:t>
            </w:r>
          </w:p>
        </w:tc>
        <w:tc>
          <w:tcPr>
            <w:tcW w:w="4649" w:type="dxa"/>
          </w:tcPr>
          <w:p w14:paraId="71CC2C16" w14:textId="04521A32"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Suspension of Service or Activity</w:t>
            </w:r>
          </w:p>
        </w:tc>
      </w:tr>
      <w:tr w:rsidR="009849AC" w:rsidRPr="002C0F16" w14:paraId="3FF427E5" w14:textId="40C443D9" w:rsidTr="00F867DE">
        <w:tc>
          <w:tcPr>
            <w:tcW w:w="4711" w:type="dxa"/>
          </w:tcPr>
          <w:p w14:paraId="053AE873"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Artículo 174.</w:t>
            </w:r>
            <w:r w:rsidRPr="00837D4A">
              <w:rPr>
                <w:rFonts w:ascii="Verdana" w:hAnsi="Verdana"/>
                <w:sz w:val="16"/>
                <w:szCs w:val="16"/>
              </w:rPr>
              <w:t xml:space="preserve"> La persona Permisionaria puede suspender los servicios o actividades en términos del artículo 119, fracción XII de la Ley y de la Normatividad que al efecto emitan la Secretaría o la Comisión, en el ámbito de sus competencias. Sin perjuicio de lo anterior, dicha persona Permisionaria no incurre en responsabilidad por suspensión del servicio o actividad, cuando esta se origine por caso fortuito o fuerza mayor.</w:t>
            </w:r>
          </w:p>
        </w:tc>
        <w:tc>
          <w:tcPr>
            <w:tcW w:w="4649" w:type="dxa"/>
          </w:tcPr>
          <w:p w14:paraId="446BBF69" w14:textId="01D5BDBF"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174. </w:t>
            </w:r>
            <w:r w:rsidRPr="00837D4A">
              <w:rPr>
                <w:rFonts w:ascii="Verdana" w:hAnsi="Verdana"/>
                <w:sz w:val="16"/>
                <w:szCs w:val="16"/>
                <w:lang w:val="en-US"/>
              </w:rPr>
              <w:t>The Permit Holder may suspend services or activities in accordance with Article 119, Section XII of the Law and the legislation issued for this purpose by the Secretary or the Commission, within the scope of their powers. Notwithstanding the foregoing, the Permit Holder shall not be liable for suspension of services or activities when such suspension is caused by an unforeseen event or force majeure.</w:t>
            </w:r>
          </w:p>
        </w:tc>
      </w:tr>
      <w:tr w:rsidR="009849AC" w:rsidRPr="00D0180E" w14:paraId="097B2054" w14:textId="749B0857" w:rsidTr="00F867DE">
        <w:tc>
          <w:tcPr>
            <w:tcW w:w="4711" w:type="dxa"/>
          </w:tcPr>
          <w:p w14:paraId="14AB44CD"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Sección Cuarta</w:t>
            </w:r>
          </w:p>
        </w:tc>
        <w:tc>
          <w:tcPr>
            <w:tcW w:w="4649" w:type="dxa"/>
          </w:tcPr>
          <w:p w14:paraId="7A9BF2B4" w14:textId="5A32A7B0" w:rsidR="009849AC" w:rsidRPr="00837D4A" w:rsidRDefault="009849AC" w:rsidP="009849AC">
            <w:pPr>
              <w:pStyle w:val="Texto"/>
              <w:spacing w:line="226" w:lineRule="exact"/>
              <w:ind w:firstLine="0"/>
              <w:jc w:val="center"/>
              <w:rPr>
                <w:rFonts w:ascii="Verdana" w:hAnsi="Verdana"/>
                <w:b/>
                <w:sz w:val="16"/>
                <w:szCs w:val="16"/>
                <w:lang w:val="en-US"/>
              </w:rPr>
            </w:pPr>
            <w:proofErr w:type="spellStart"/>
            <w:r w:rsidRPr="00837D4A">
              <w:rPr>
                <w:rFonts w:ascii="Verdana" w:hAnsi="Verdana"/>
                <w:b/>
                <w:sz w:val="16"/>
                <w:szCs w:val="16"/>
              </w:rPr>
              <w:t>Fourth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C0F16" w14:paraId="6AC41B1E" w14:textId="4BBAE265" w:rsidTr="00F867DE">
        <w:tc>
          <w:tcPr>
            <w:tcW w:w="4711" w:type="dxa"/>
          </w:tcPr>
          <w:p w14:paraId="5393DE4D" w14:textId="77777777" w:rsidR="009849AC" w:rsidRPr="00837D4A" w:rsidRDefault="009849AC" w:rsidP="009849AC">
            <w:pPr>
              <w:pStyle w:val="Texto"/>
              <w:spacing w:line="226" w:lineRule="exact"/>
              <w:ind w:firstLine="0"/>
              <w:jc w:val="center"/>
              <w:rPr>
                <w:rFonts w:ascii="Verdana" w:hAnsi="Verdana"/>
                <w:b/>
                <w:sz w:val="16"/>
                <w:szCs w:val="16"/>
              </w:rPr>
            </w:pPr>
            <w:r w:rsidRPr="00837D4A">
              <w:rPr>
                <w:rFonts w:ascii="Verdana" w:hAnsi="Verdana"/>
                <w:b/>
                <w:sz w:val="16"/>
                <w:szCs w:val="16"/>
              </w:rPr>
              <w:t>Del Acceso Abierto No Indebidamente Discriminatorio</w:t>
            </w:r>
          </w:p>
        </w:tc>
        <w:tc>
          <w:tcPr>
            <w:tcW w:w="4649" w:type="dxa"/>
          </w:tcPr>
          <w:p w14:paraId="5B8C1209" w14:textId="7FDCF797" w:rsidR="009849AC" w:rsidRPr="00837D4A" w:rsidRDefault="009849AC" w:rsidP="009849AC">
            <w:pPr>
              <w:pStyle w:val="Texto"/>
              <w:spacing w:line="226" w:lineRule="exact"/>
              <w:ind w:firstLine="0"/>
              <w:jc w:val="center"/>
              <w:rPr>
                <w:rFonts w:ascii="Verdana" w:hAnsi="Verdana"/>
                <w:b/>
                <w:sz w:val="16"/>
                <w:szCs w:val="16"/>
                <w:lang w:val="en-US"/>
              </w:rPr>
            </w:pPr>
            <w:r w:rsidRPr="00837D4A">
              <w:rPr>
                <w:rFonts w:ascii="Verdana" w:hAnsi="Verdana"/>
                <w:b/>
                <w:sz w:val="16"/>
                <w:szCs w:val="16"/>
                <w:lang w:val="en-US"/>
              </w:rPr>
              <w:t>Non-Unduly Discriminatory Open Access</w:t>
            </w:r>
          </w:p>
        </w:tc>
      </w:tr>
      <w:tr w:rsidR="009849AC" w:rsidRPr="002C0F16" w14:paraId="48B85E01" w14:textId="279CB8D7" w:rsidTr="00F867DE">
        <w:tc>
          <w:tcPr>
            <w:tcW w:w="4711" w:type="dxa"/>
          </w:tcPr>
          <w:p w14:paraId="0051445D"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 xml:space="preserve">Artículo 175. </w:t>
            </w:r>
            <w:r w:rsidRPr="00837D4A">
              <w:rPr>
                <w:rFonts w:ascii="Verdana" w:hAnsi="Verdana"/>
                <w:sz w:val="16"/>
                <w:szCs w:val="16"/>
              </w:rPr>
              <w:t>Las personas Permisionarias que presten a terceras personas los servicios de Transporte por medio de Ductos y Distribución por medio de Ductos, así como de Almacenamiento de Hidrocarburos, Petrolíferos y Petroquímicos, con excepción de las empresas públicas del Estado o sus empresas filiales, deben sujetarse a la Normatividad que emita la Secretaría para la Asignación de capacidad, así como a la Normatividad que expida la Comisión en cumplimiento a la obligación de dar Acceso Abierto No Indebidamente Discriminatorio a sus instalaciones, conforme a lo establecido en los artículos 104 y 107  de la Ley.</w:t>
            </w:r>
          </w:p>
        </w:tc>
        <w:tc>
          <w:tcPr>
            <w:tcW w:w="4649" w:type="dxa"/>
          </w:tcPr>
          <w:p w14:paraId="426BD437" w14:textId="63F26EE8"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175. </w:t>
            </w:r>
            <w:r w:rsidRPr="00837D4A">
              <w:rPr>
                <w:rFonts w:ascii="Verdana" w:hAnsi="Verdana"/>
                <w:sz w:val="16"/>
                <w:szCs w:val="16"/>
                <w:lang w:val="en-US"/>
              </w:rPr>
              <w:t>Permit holders who provide third parties with pipeline transportation and pipeline distribution services, as well as hydrocarbon, petroleum and petrochemical storage services, with the exception of public companies of the State or their subsidiaries, must comply with the legislation issued by the Secretary for the assignment of capacity, as well as the legislation issued by the Commission in compliance with the obligation to provide non-unduly discriminatory open access to their facilities, in accordance with the provisions of Articles 104 and 107 of the Law.</w:t>
            </w:r>
          </w:p>
        </w:tc>
      </w:tr>
      <w:tr w:rsidR="009849AC" w:rsidRPr="002C0F16" w14:paraId="35BBD007" w14:textId="3DB92017" w:rsidTr="00F867DE">
        <w:tc>
          <w:tcPr>
            <w:tcW w:w="4711" w:type="dxa"/>
          </w:tcPr>
          <w:p w14:paraId="63FB2B5F"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De conformidad con lo anterior y con lo dispuesto en el artículo 104, segundo párrafo de la Ley, las empresas públicas del Estado y sus empresas filiales no se encuentran obligadas a dar Acceso Abierto No indebidamente Discriminatorio a sus Sistemas y por lo tanto no están sujetas a la regulación económica. En los casos en que cuenten con capacidad disponible, pueden optar por prestar los servicios de Transporte por medio de Ductos, Distribución por medio de Ductos o de Almacenamiento de Hidrocarburos, Petrolíferos y Petroquímicos al amparo de los permisos de los que sean titulares.</w:t>
            </w:r>
          </w:p>
        </w:tc>
        <w:tc>
          <w:tcPr>
            <w:tcW w:w="4649" w:type="dxa"/>
          </w:tcPr>
          <w:p w14:paraId="0210F198" w14:textId="1659F8AA"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Pursuant to the foregoing and the provisions of Article 104, second paragraph of the Law, state-owned enterprises and their subsidiaries are not required to provide non-unduly discriminatory open access to their systems and are therefore not subject to economic regulation. In cases where they have available capacity, they may choose to provide pipeline transportation, pipeline distribution, or hydrocarbon, petroleum, and petrochemical storage services under the permits they hold.</w:t>
            </w:r>
          </w:p>
        </w:tc>
      </w:tr>
      <w:tr w:rsidR="009849AC" w:rsidRPr="002C0F16" w14:paraId="052AA39E" w14:textId="5F110286" w:rsidTr="00F867DE">
        <w:tc>
          <w:tcPr>
            <w:tcW w:w="4711" w:type="dxa"/>
          </w:tcPr>
          <w:p w14:paraId="01286155"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b/>
                <w:sz w:val="16"/>
                <w:szCs w:val="16"/>
              </w:rPr>
              <w:t>Artículo 176.</w:t>
            </w:r>
            <w:r w:rsidRPr="00837D4A">
              <w:rPr>
                <w:rFonts w:ascii="Verdana" w:hAnsi="Verdana"/>
                <w:sz w:val="16"/>
                <w:szCs w:val="16"/>
              </w:rPr>
              <w:t xml:space="preserve"> Para efectos de lo anterior, la Normatividad que emita la Comisión debe contener, al menos, lo siguiente:</w:t>
            </w:r>
          </w:p>
        </w:tc>
        <w:tc>
          <w:tcPr>
            <w:tcW w:w="4649" w:type="dxa"/>
          </w:tcPr>
          <w:p w14:paraId="2A9AB243" w14:textId="230F31FE"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Article 176. </w:t>
            </w:r>
            <w:r w:rsidRPr="00837D4A">
              <w:rPr>
                <w:rFonts w:ascii="Verdana" w:hAnsi="Verdana"/>
                <w:sz w:val="16"/>
                <w:szCs w:val="16"/>
                <w:lang w:val="en-US"/>
              </w:rPr>
              <w:t>For the purposes of the above, the legislation issued by the Commission must contain, at least, the following:</w:t>
            </w:r>
          </w:p>
        </w:tc>
      </w:tr>
      <w:tr w:rsidR="009849AC" w:rsidRPr="002C0F16" w14:paraId="04761E0A" w14:textId="0BB58E2F" w:rsidTr="00F867DE">
        <w:tc>
          <w:tcPr>
            <w:tcW w:w="4711" w:type="dxa"/>
          </w:tcPr>
          <w:p w14:paraId="4FD39E8B"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 xml:space="preserve">Los criterios a los que debe sujetarse la persona Permisionaria para garantizar el Acceso Abierto No Indebidamente Discriminatorio a sus instalaciones y servicios, alineados a los Mecanismos de Asignación de Capacidad que para tal efecto emita la Secretaría, y la </w:t>
            </w:r>
            <w:r w:rsidRPr="00837D4A">
              <w:rPr>
                <w:rFonts w:ascii="Verdana" w:hAnsi="Verdana"/>
                <w:sz w:val="16"/>
                <w:szCs w:val="16"/>
              </w:rPr>
              <w:lastRenderedPageBreak/>
              <w:t>implementación de boletines electrónicos, en términos de lo establecido en el artículo 104 de la Ley;</w:t>
            </w:r>
          </w:p>
        </w:tc>
        <w:tc>
          <w:tcPr>
            <w:tcW w:w="4649" w:type="dxa"/>
          </w:tcPr>
          <w:p w14:paraId="4F1C4C62" w14:textId="7CE6C7D1"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lastRenderedPageBreak/>
              <w:t xml:space="preserve">I. </w:t>
            </w:r>
            <w:r w:rsidRPr="00837D4A">
              <w:rPr>
                <w:rFonts w:ascii="Verdana" w:hAnsi="Verdana"/>
                <w:b/>
                <w:sz w:val="16"/>
                <w:szCs w:val="16"/>
                <w:lang w:val="en-US"/>
              </w:rPr>
              <w:tab/>
            </w:r>
            <w:r w:rsidRPr="00837D4A">
              <w:rPr>
                <w:rFonts w:ascii="Verdana" w:hAnsi="Verdana"/>
                <w:sz w:val="16"/>
                <w:szCs w:val="16"/>
                <w:lang w:val="en-US"/>
              </w:rPr>
              <w:t xml:space="preserve">The criteria to which the permit holder must adhere to guarantee non-unduly discriminatory open access to its facilities and services, aligned with the capacity assignment mechanisms issued for this purpose by the Secretary, and the implementation of </w:t>
            </w:r>
            <w:r w:rsidRPr="00837D4A">
              <w:rPr>
                <w:rFonts w:ascii="Verdana" w:hAnsi="Verdana"/>
                <w:sz w:val="16"/>
                <w:szCs w:val="16"/>
                <w:lang w:val="en-US"/>
              </w:rPr>
              <w:lastRenderedPageBreak/>
              <w:t>electronic bulletins, in terms of the provisions of article 104 of the Law;</w:t>
            </w:r>
          </w:p>
        </w:tc>
      </w:tr>
      <w:tr w:rsidR="009849AC" w:rsidRPr="002C0F16" w14:paraId="1F731295" w14:textId="0BAB24FF" w:rsidTr="00F867DE">
        <w:tc>
          <w:tcPr>
            <w:tcW w:w="4711" w:type="dxa"/>
          </w:tcPr>
          <w:p w14:paraId="426B0A33"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lastRenderedPageBreak/>
              <w:t>II.</w:t>
            </w:r>
            <w:r w:rsidRPr="00837D4A">
              <w:rPr>
                <w:rFonts w:ascii="Verdana" w:hAnsi="Verdana"/>
                <w:b/>
                <w:sz w:val="16"/>
                <w:szCs w:val="16"/>
              </w:rPr>
              <w:tab/>
            </w:r>
            <w:r w:rsidRPr="00837D4A">
              <w:rPr>
                <w:rFonts w:ascii="Verdana" w:hAnsi="Verdana"/>
                <w:sz w:val="16"/>
                <w:szCs w:val="16"/>
              </w:rPr>
              <w:t>El tipo de contratación de los servicios para el uso de la capacidad de los Sistemas que mejor se adapte a las características de la actividad permisionada y la estructura del mercado respectivo que debe considerar los efectos de permitir la reserva de capacidad frente al uso común de esta, bajo esquemas volumétricos sujetos a prorrateo;</w:t>
            </w:r>
          </w:p>
        </w:tc>
        <w:tc>
          <w:tcPr>
            <w:tcW w:w="4649" w:type="dxa"/>
          </w:tcPr>
          <w:p w14:paraId="3FB6F280" w14:textId="6CB0B9E4"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type of contracting of services for the use of the capacity of the systems that best adapts to the characteristics of the permitted activity and the structure of the respective market, which must consider the effects of allowing the reservation of capacity versus its common use, under volumetric schemes subject to prorating;</w:t>
            </w:r>
          </w:p>
        </w:tc>
      </w:tr>
      <w:tr w:rsidR="009849AC" w:rsidRPr="002C0F16" w14:paraId="3FA440CC" w14:textId="6881E440" w:rsidTr="00F867DE">
        <w:tc>
          <w:tcPr>
            <w:tcW w:w="4711" w:type="dxa"/>
          </w:tcPr>
          <w:p w14:paraId="1C9C9F9E"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Las condiciones bajo las cuales la persona Permisionaria puede utilizar parte o la totalidad de sus Sistemas para el Transporte por medio de Ductos o Almacenamiento de Hidrocarburos, Petrolíferos o Petroquímicos de su propiedad, en los términos establecidos en el artículo 105, fracciones II y III de la Ley, y</w:t>
            </w:r>
          </w:p>
        </w:tc>
        <w:tc>
          <w:tcPr>
            <w:tcW w:w="4649" w:type="dxa"/>
          </w:tcPr>
          <w:p w14:paraId="5A1E5D97" w14:textId="51F5D408"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conditions under which the permit holder may use part or all of its systems for the transportation by means of pipelines or storage of hydrocarbons, petroleum products or petrochemicals of its property, in the terms established in article 105, sections II and III of the Law, and</w:t>
            </w:r>
          </w:p>
        </w:tc>
      </w:tr>
      <w:tr w:rsidR="009849AC" w:rsidRPr="002C0F16" w14:paraId="667CC18B" w14:textId="59F94ABD" w:rsidTr="00F867DE">
        <w:tc>
          <w:tcPr>
            <w:tcW w:w="4711" w:type="dxa"/>
          </w:tcPr>
          <w:p w14:paraId="1B56A821" w14:textId="77777777" w:rsidR="009849AC" w:rsidRPr="00837D4A" w:rsidRDefault="009849AC" w:rsidP="009849AC">
            <w:pPr>
              <w:pStyle w:val="Texto"/>
              <w:spacing w:line="226"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Los términos bajo los cuales deben pactar los convenios de inversión.</w:t>
            </w:r>
          </w:p>
        </w:tc>
        <w:tc>
          <w:tcPr>
            <w:tcW w:w="4649" w:type="dxa"/>
          </w:tcPr>
          <w:p w14:paraId="4BB5092E" w14:textId="2F5E9B58" w:rsidR="009849AC" w:rsidRPr="00837D4A" w:rsidRDefault="009849AC" w:rsidP="009849AC">
            <w:pPr>
              <w:pStyle w:val="Texto"/>
              <w:spacing w:line="226"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terms under which investment agreements must be concluded.</w:t>
            </w:r>
          </w:p>
        </w:tc>
      </w:tr>
      <w:tr w:rsidR="009849AC" w:rsidRPr="002C0F16" w14:paraId="0A497502" w14:textId="7B2DFF5A" w:rsidTr="00F867DE">
        <w:tc>
          <w:tcPr>
            <w:tcW w:w="4711" w:type="dxa"/>
          </w:tcPr>
          <w:p w14:paraId="5B19DD3E" w14:textId="77777777" w:rsidR="009849AC" w:rsidRPr="00837D4A" w:rsidRDefault="009849AC" w:rsidP="009849AC">
            <w:pPr>
              <w:pStyle w:val="Texto"/>
              <w:spacing w:line="226" w:lineRule="exact"/>
              <w:ind w:firstLine="0"/>
              <w:rPr>
                <w:rFonts w:ascii="Verdana" w:hAnsi="Verdana"/>
                <w:sz w:val="16"/>
                <w:szCs w:val="16"/>
              </w:rPr>
            </w:pPr>
            <w:r w:rsidRPr="00837D4A">
              <w:rPr>
                <w:rFonts w:ascii="Verdana" w:hAnsi="Verdana"/>
                <w:sz w:val="16"/>
                <w:szCs w:val="16"/>
              </w:rPr>
              <w:t>La Secretaría o la Comisión pueden establecer la Normatividad a que se refiere el artículo 118 de la Ley, en función del grado de apertura, la concentración y el número de participantes y demás aspectos que permitan garantizar condiciones efectivas de Acceso Abierto No Indebidamente Discriminatorio y propiciar un desarrollo eficiente y competitivo de los mercados, conforme a lo previsto en dicho artículo.</w:t>
            </w:r>
          </w:p>
        </w:tc>
        <w:tc>
          <w:tcPr>
            <w:tcW w:w="4649" w:type="dxa"/>
          </w:tcPr>
          <w:p w14:paraId="2EAA1123" w14:textId="0685B5AD" w:rsidR="009849AC" w:rsidRPr="00837D4A" w:rsidRDefault="009849AC" w:rsidP="009849AC">
            <w:pPr>
              <w:pStyle w:val="Texto"/>
              <w:spacing w:line="226" w:lineRule="exact"/>
              <w:ind w:firstLine="0"/>
              <w:rPr>
                <w:rFonts w:ascii="Verdana" w:hAnsi="Verdana"/>
                <w:sz w:val="16"/>
                <w:szCs w:val="16"/>
                <w:lang w:val="en-US"/>
              </w:rPr>
            </w:pPr>
            <w:r w:rsidRPr="00837D4A">
              <w:rPr>
                <w:rFonts w:ascii="Verdana" w:hAnsi="Verdana"/>
                <w:sz w:val="16"/>
                <w:szCs w:val="16"/>
                <w:lang w:val="en-US"/>
              </w:rPr>
              <w:t>The Secretary or the Commission may establish the legislation referred to in Article 118 of the Law, depending on the degree of openness, the concentration and number of participants, and other aspects that ensure effective conditions for non-unduly discriminatory open access and foster efficient and competitive development of markets, as provided for in said article.</w:t>
            </w:r>
          </w:p>
        </w:tc>
      </w:tr>
      <w:tr w:rsidR="009849AC" w:rsidRPr="002C0F16" w14:paraId="78AA44BD" w14:textId="4D6045DA" w:rsidTr="00F867DE">
        <w:tc>
          <w:tcPr>
            <w:tcW w:w="4711" w:type="dxa"/>
          </w:tcPr>
          <w:p w14:paraId="3F1A8D44"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 xml:space="preserve">Artículo 177. </w:t>
            </w:r>
            <w:r w:rsidRPr="00837D4A">
              <w:rPr>
                <w:rFonts w:ascii="Verdana" w:hAnsi="Verdana"/>
                <w:sz w:val="16"/>
                <w:szCs w:val="16"/>
              </w:rPr>
              <w:t>Los boletines electrónicos a que se refiere el artículo 104 de la Ley, deben estar disponibles previo a la fecha de inicio de operaciones de la persona Permisionaria.</w:t>
            </w:r>
          </w:p>
        </w:tc>
        <w:tc>
          <w:tcPr>
            <w:tcW w:w="4649" w:type="dxa"/>
          </w:tcPr>
          <w:p w14:paraId="0164A9BF" w14:textId="144CA107"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177. </w:t>
            </w:r>
            <w:r w:rsidRPr="00837D4A">
              <w:rPr>
                <w:rFonts w:ascii="Verdana" w:hAnsi="Verdana"/>
                <w:sz w:val="16"/>
                <w:szCs w:val="16"/>
                <w:lang w:val="en-US"/>
              </w:rPr>
              <w:t>The electronic bulletins referred to in Article 104 of the Law must be available prior to the start date of operations of the permit holder.</w:t>
            </w:r>
          </w:p>
        </w:tc>
      </w:tr>
      <w:tr w:rsidR="009849AC" w:rsidRPr="002C0F16" w14:paraId="477CD269" w14:textId="0DD0A6EF" w:rsidTr="00F867DE">
        <w:tc>
          <w:tcPr>
            <w:tcW w:w="4711" w:type="dxa"/>
          </w:tcPr>
          <w:p w14:paraId="371BFB19"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178.</w:t>
            </w:r>
            <w:r w:rsidRPr="00837D4A">
              <w:rPr>
                <w:rFonts w:ascii="Verdana" w:hAnsi="Verdana"/>
                <w:sz w:val="16"/>
                <w:szCs w:val="16"/>
              </w:rPr>
              <w:t xml:space="preserve"> La persona Permisionaria sujeta a la obligación de Acceso Abierto No Indebidamente Discriminatorio y que cuente con capacidad disponible de manera permanente, debe realizar Mecanismos de Asignación de Capacidad conforme lo establezca la Secretaría y hacerla pública mediante boletines electrónicos que fomenten el uso eficiente de la capacidad.</w:t>
            </w:r>
          </w:p>
        </w:tc>
        <w:tc>
          <w:tcPr>
            <w:tcW w:w="4649" w:type="dxa"/>
          </w:tcPr>
          <w:p w14:paraId="18A0C830" w14:textId="52D8BB81"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178. </w:t>
            </w:r>
            <w:r w:rsidRPr="00837D4A">
              <w:rPr>
                <w:rFonts w:ascii="Verdana" w:hAnsi="Verdana"/>
                <w:sz w:val="16"/>
                <w:szCs w:val="16"/>
                <w:lang w:val="en-US"/>
              </w:rPr>
              <w:t>The permit holder subject to the obligation of non-unduly discriminatory open access and who has permanently available capacity, must implement capacity assignment mechanisms as established by the Secretary and make them public through electronic bulletins that promote the efficient use of capacity.</w:t>
            </w:r>
          </w:p>
        </w:tc>
      </w:tr>
      <w:tr w:rsidR="009849AC" w:rsidRPr="002C0F16" w14:paraId="29FCA9DD" w14:textId="6B2CA29A" w:rsidTr="00F867DE">
        <w:tc>
          <w:tcPr>
            <w:tcW w:w="4711" w:type="dxa"/>
          </w:tcPr>
          <w:p w14:paraId="1AA0E84E"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Se entiende por capacidad disponible de manera permanente cualquiera de los siguientes casos:</w:t>
            </w:r>
          </w:p>
        </w:tc>
        <w:tc>
          <w:tcPr>
            <w:tcW w:w="4649" w:type="dxa"/>
          </w:tcPr>
          <w:p w14:paraId="2A66E93E" w14:textId="578D8B33"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Permanently available capacity is understood to be any of the following cases:</w:t>
            </w:r>
          </w:p>
        </w:tc>
      </w:tr>
      <w:tr w:rsidR="009849AC" w:rsidRPr="002C0F16" w14:paraId="65194207" w14:textId="490EB1FC" w:rsidTr="00F867DE">
        <w:tc>
          <w:tcPr>
            <w:tcW w:w="4711" w:type="dxa"/>
          </w:tcPr>
          <w:p w14:paraId="5D0D5F98"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Cuando se desarrolla un nuevo Sistema;</w:t>
            </w:r>
          </w:p>
        </w:tc>
        <w:tc>
          <w:tcPr>
            <w:tcW w:w="4649" w:type="dxa"/>
          </w:tcPr>
          <w:p w14:paraId="53CEEECE" w14:textId="6FD853D2"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When a new system is developed;</w:t>
            </w:r>
          </w:p>
        </w:tc>
      </w:tr>
      <w:tr w:rsidR="009849AC" w:rsidRPr="002C0F16" w14:paraId="466763EB" w14:textId="44AC4202" w:rsidTr="00F867DE">
        <w:tc>
          <w:tcPr>
            <w:tcW w:w="4711" w:type="dxa"/>
          </w:tcPr>
          <w:p w14:paraId="1506F165"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Cuando se amplía la capacidad del Sistema, ya sea por cambio en las condiciones de operación respecto de la capacidad de inyección-extracción por mayores inyecciones o por el desarrollo de nuevos Ductos e instalaciones;</w:t>
            </w:r>
          </w:p>
        </w:tc>
        <w:tc>
          <w:tcPr>
            <w:tcW w:w="4649" w:type="dxa"/>
          </w:tcPr>
          <w:p w14:paraId="1F6D1328" w14:textId="2A5689D5"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When the capacity of the system is expanded, either due to a change in the operating conditions with respect to the injection-extraction capacity due to greater injections or due to the development of new pipelines and facilities;</w:t>
            </w:r>
          </w:p>
        </w:tc>
      </w:tr>
      <w:tr w:rsidR="009849AC" w:rsidRPr="002C0F16" w14:paraId="140D4B8C" w14:textId="3684A37F" w:rsidTr="00F867DE">
        <w:tc>
          <w:tcPr>
            <w:tcW w:w="4711" w:type="dxa"/>
          </w:tcPr>
          <w:p w14:paraId="0770F901"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Cuando la capacidad existente no se encuentre comprometida a través de un contrato o al estar contratada no sea utilizada conforme a los términos y condiciones que establezca la Comisión de acuerdo con el artículo 107 de la Ley, y</w:t>
            </w:r>
          </w:p>
        </w:tc>
        <w:tc>
          <w:tcPr>
            <w:tcW w:w="4649" w:type="dxa"/>
          </w:tcPr>
          <w:p w14:paraId="1981214C" w14:textId="36E71859"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When the existing capacity is not committed through a contract or when contracted is not used in accordance with the terms and conditions established by the Commission in accordance with Article 107 of the Law, and</w:t>
            </w:r>
          </w:p>
        </w:tc>
      </w:tr>
      <w:tr w:rsidR="009849AC" w:rsidRPr="002C0F16" w14:paraId="78CAFB7D" w14:textId="09E71224" w:rsidTr="00F867DE">
        <w:tc>
          <w:tcPr>
            <w:tcW w:w="4711" w:type="dxa"/>
          </w:tcPr>
          <w:p w14:paraId="5D17E577"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lastRenderedPageBreak/>
              <w:t>IV.</w:t>
            </w:r>
            <w:r w:rsidRPr="00837D4A">
              <w:rPr>
                <w:rFonts w:ascii="Verdana" w:hAnsi="Verdana"/>
                <w:b/>
                <w:sz w:val="16"/>
                <w:szCs w:val="16"/>
              </w:rPr>
              <w:tab/>
            </w:r>
            <w:r w:rsidRPr="00837D4A">
              <w:rPr>
                <w:rFonts w:ascii="Verdana" w:hAnsi="Verdana"/>
                <w:sz w:val="16"/>
                <w:szCs w:val="16"/>
              </w:rPr>
              <w:t>Cuando la persona Usuaria o Usuaria Final ceda la capacidad a través de la persona Permisionaria.</w:t>
            </w:r>
          </w:p>
        </w:tc>
        <w:tc>
          <w:tcPr>
            <w:tcW w:w="4649" w:type="dxa"/>
          </w:tcPr>
          <w:p w14:paraId="00AFA508" w14:textId="5EA48E57"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When the user or end user transfers the capacity through the permit holder.</w:t>
            </w:r>
          </w:p>
        </w:tc>
      </w:tr>
      <w:tr w:rsidR="009849AC" w:rsidRPr="002C0F16" w14:paraId="24A528FE" w14:textId="6D5ACEFD" w:rsidTr="00F867DE">
        <w:tc>
          <w:tcPr>
            <w:tcW w:w="4711" w:type="dxa"/>
          </w:tcPr>
          <w:p w14:paraId="1E1EF4E1"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Cuando la persona Permisionaria niegue el acceso al servicio a una persona Usuaria o Usuaria Final al tener capacidad disponible y exista viabilidad técnica y económica bajo los criterios aprobados y expedidos por la Comisión, u ofrezca el servicio en condiciones indebidamente discriminatorias, la parte afectada puede solicitar la intervención de la Comisión, la cual debe sancionar esta conducta conforme a la Normatividad aplicable.</w:t>
            </w:r>
          </w:p>
        </w:tc>
        <w:tc>
          <w:tcPr>
            <w:tcW w:w="4649" w:type="dxa"/>
          </w:tcPr>
          <w:p w14:paraId="4FC3AAC2" w14:textId="0B0147EA"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When the permit holder denies access to the service to a user or end user, given that it has available capacity and technical and economic viability under the criteria approved and issued by the Commission, or offers the service under unduly discriminatory conditions, the affected party may request the intervention of the Commission, which must sanction this conduct in accordance with the applicable legislation.</w:t>
            </w:r>
          </w:p>
        </w:tc>
      </w:tr>
      <w:tr w:rsidR="009849AC" w:rsidRPr="002C0F16" w14:paraId="13506473" w14:textId="207ABA9B" w:rsidTr="00F867DE">
        <w:tc>
          <w:tcPr>
            <w:tcW w:w="4711" w:type="dxa"/>
          </w:tcPr>
          <w:p w14:paraId="6F225629"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 xml:space="preserve">Artículo 179. </w:t>
            </w:r>
            <w:r w:rsidRPr="00837D4A">
              <w:rPr>
                <w:rFonts w:ascii="Verdana" w:hAnsi="Verdana"/>
                <w:sz w:val="16"/>
                <w:szCs w:val="16"/>
              </w:rPr>
              <w:t>Las personas Permisionarias de Transporte por medio de Ductos, Distribución por medio de Ductos y Almacenamiento sujetos a Acceso Abierto No Indebidamente Discriminatorio, están obligados a permitir la interconexión de personas Usuarias a su Sistema, en tanto:</w:t>
            </w:r>
          </w:p>
        </w:tc>
        <w:tc>
          <w:tcPr>
            <w:tcW w:w="4649" w:type="dxa"/>
          </w:tcPr>
          <w:p w14:paraId="1F5595E4" w14:textId="3F687B6C"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179. </w:t>
            </w:r>
            <w:r w:rsidRPr="00837D4A">
              <w:rPr>
                <w:rFonts w:ascii="Verdana" w:hAnsi="Verdana"/>
                <w:sz w:val="16"/>
                <w:szCs w:val="16"/>
                <w:lang w:val="en-US"/>
              </w:rPr>
              <w:t>Permit holders of Transportation by Means of Pipelines, Distribution by means of Pipelines and Storage subject to Open Access that is not Unduly Discriminatory, are obliged to allow the interconnection of Users to their System, as long as:</w:t>
            </w:r>
          </w:p>
        </w:tc>
      </w:tr>
      <w:tr w:rsidR="009849AC" w:rsidRPr="002C0F16" w14:paraId="06B92269" w14:textId="31640D8B" w:rsidTr="00F867DE">
        <w:tc>
          <w:tcPr>
            <w:tcW w:w="4711" w:type="dxa"/>
          </w:tcPr>
          <w:p w14:paraId="0E2A4581" w14:textId="4154A3F4"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 xml:space="preserve">I.            </w:t>
            </w:r>
            <w:r w:rsidRPr="00837D4A">
              <w:rPr>
                <w:rFonts w:ascii="Verdana" w:hAnsi="Verdana"/>
                <w:bCs/>
                <w:sz w:val="16"/>
                <w:szCs w:val="16"/>
              </w:rPr>
              <w:t>Exista disponibilidad para prestar el servicio, sin perjuicio de lo previsto en el artículo 105, fracciones II y III de la Ley;</w:t>
            </w:r>
          </w:p>
        </w:tc>
        <w:tc>
          <w:tcPr>
            <w:tcW w:w="4649" w:type="dxa"/>
          </w:tcPr>
          <w:p w14:paraId="66684C6F" w14:textId="4BF24B64"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There is availability to provide the service, without prejudice to the provisions of article 105, sections II and III of the Law;</w:t>
            </w:r>
          </w:p>
        </w:tc>
      </w:tr>
      <w:tr w:rsidR="009849AC" w:rsidRPr="002C0F16" w14:paraId="7F0FB9F3" w14:textId="4A492E57" w:rsidTr="00F867DE">
        <w:tc>
          <w:tcPr>
            <w:tcW w:w="4711" w:type="dxa"/>
          </w:tcPr>
          <w:p w14:paraId="0769C0A2"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interconexión sea técnica y económicamente viable, y</w:t>
            </w:r>
          </w:p>
        </w:tc>
        <w:tc>
          <w:tcPr>
            <w:tcW w:w="4649" w:type="dxa"/>
          </w:tcPr>
          <w:p w14:paraId="7483AEA5" w14:textId="29431CBD"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interconnection is technically and economically viable, and</w:t>
            </w:r>
          </w:p>
        </w:tc>
      </w:tr>
      <w:tr w:rsidR="009849AC" w:rsidRPr="002C0F16" w14:paraId="3709CB73" w14:textId="7ACFF77C" w:rsidTr="00F867DE">
        <w:tc>
          <w:tcPr>
            <w:tcW w:w="4711" w:type="dxa"/>
          </w:tcPr>
          <w:p w14:paraId="195D9AD6"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Las partes celebren un contrato de interconexión.</w:t>
            </w:r>
          </w:p>
        </w:tc>
        <w:tc>
          <w:tcPr>
            <w:tcW w:w="4649" w:type="dxa"/>
          </w:tcPr>
          <w:p w14:paraId="17564084" w14:textId="0EB2373C"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parties enter into an interconnection contract.</w:t>
            </w:r>
          </w:p>
        </w:tc>
      </w:tr>
      <w:tr w:rsidR="009849AC" w:rsidRPr="002C0F16" w14:paraId="51C56E52" w14:textId="62F5D427" w:rsidTr="00F867DE">
        <w:tc>
          <w:tcPr>
            <w:tcW w:w="4711" w:type="dxa"/>
          </w:tcPr>
          <w:p w14:paraId="0DCECE1A"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Las condiciones para la interconexión se deben establecer en los términos y condiciones para la prestación de los servicios que apruebe la Comisión. Las contraprestaciones que aplique la persona Permisionaria por la interconexión a sus Sistemas pueden pactarse libremente. Sin perjuicio de lo anterior, la persona Permisionaria está obligada a presentar a la Secretaría o a la Comisión las contraprestaciones aplicadas, así como los costos respectivos. En cualquier caso, la persona Permisionaria debe asegurar un trato no indebidamente discriminatorio entre las personas que soliciten la interconexión.</w:t>
            </w:r>
          </w:p>
        </w:tc>
        <w:tc>
          <w:tcPr>
            <w:tcW w:w="4649" w:type="dxa"/>
          </w:tcPr>
          <w:p w14:paraId="0BD8D1F5" w14:textId="204869FC"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The conditions for interconnection must be established in the terms and conditions for the provision of services approved by the Commission. The compensation charged by the permit holder for interconnection to its systems may be freely agreed upon. Notwithstanding the foregoing, the permit holder is obligated to submit to the Secretary or the Commission the compensation charged, as well as the respective costs. In any case, the permit holder must ensure that treatment is not unduly discriminatory among those requesting interconnection.</w:t>
            </w:r>
          </w:p>
        </w:tc>
      </w:tr>
      <w:tr w:rsidR="009849AC" w:rsidRPr="002C0F16" w14:paraId="389D910C" w14:textId="17FB6C2A" w:rsidTr="00F867DE">
        <w:tc>
          <w:tcPr>
            <w:tcW w:w="4711" w:type="dxa"/>
          </w:tcPr>
          <w:p w14:paraId="1E262671"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En caso de no existir acuerdo entre las partes respecto de los términos y condiciones o las contraprestaciones para la interconexión, se debe estar a lo que resuelva la Secretaría o la Comisión, conforme a la Normatividad aplicable, quienes pueden requerir la información necesaria para su evaluación.</w:t>
            </w:r>
          </w:p>
        </w:tc>
        <w:tc>
          <w:tcPr>
            <w:tcW w:w="4649" w:type="dxa"/>
          </w:tcPr>
          <w:p w14:paraId="237137AA" w14:textId="3BA1F10D"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In the event that there is no agreement between the parties regarding the terms and conditions or compensation for interconnection, the Secretary or the Commission shall decide, in accordance with applicable legislation, and may request the necessary information for its evaluation.</w:t>
            </w:r>
          </w:p>
        </w:tc>
      </w:tr>
      <w:tr w:rsidR="009849AC" w:rsidRPr="002C0F16" w14:paraId="109E166C" w14:textId="49713545" w:rsidTr="00F867DE">
        <w:tc>
          <w:tcPr>
            <w:tcW w:w="4711" w:type="dxa"/>
          </w:tcPr>
          <w:p w14:paraId="0FD24497"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180.</w:t>
            </w:r>
            <w:r w:rsidRPr="00837D4A">
              <w:rPr>
                <w:rFonts w:ascii="Verdana" w:hAnsi="Verdana"/>
                <w:sz w:val="16"/>
                <w:szCs w:val="16"/>
              </w:rPr>
              <w:t xml:space="preserve"> Las personas Permisionarias sujetas a Acceso Abierto No Indebidamente Discriminatorio, deben extender o ampliar sus Sistemas a solicitud de cualquier interesado, siempre que la extensión o ampliación sea técnica y económicamente viable, sin perjuicio de lo previsto en el artículo 105, fracciones II y III de la Ley.</w:t>
            </w:r>
          </w:p>
        </w:tc>
        <w:tc>
          <w:tcPr>
            <w:tcW w:w="4649" w:type="dxa"/>
          </w:tcPr>
          <w:p w14:paraId="171580F8" w14:textId="47726E18"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180. </w:t>
            </w:r>
            <w:r w:rsidRPr="00837D4A">
              <w:rPr>
                <w:rFonts w:ascii="Verdana" w:hAnsi="Verdana"/>
                <w:sz w:val="16"/>
                <w:szCs w:val="16"/>
                <w:lang w:val="en-US"/>
              </w:rPr>
              <w:t>Permit holders subject to Non-Unduly Discriminatory Open Access must extend or expand their systems at the request of any interested party, provided that the extension or expansion is technically and economically feasible, without prejudice to the provisions of Article 105, sections II and III of the Law.</w:t>
            </w:r>
          </w:p>
        </w:tc>
      </w:tr>
      <w:tr w:rsidR="009849AC" w:rsidRPr="002C0F16" w14:paraId="6A309C0E" w14:textId="2F0168F6" w:rsidTr="00F867DE">
        <w:tc>
          <w:tcPr>
            <w:tcW w:w="4711" w:type="dxa"/>
          </w:tcPr>
          <w:p w14:paraId="1BCEDE3D"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 xml:space="preserve">En caso de que se justifique que la extensión o ampliación sea técnica, pero no económicamente viable, la persona Permisionaria y los interesados pueden </w:t>
            </w:r>
            <w:r w:rsidRPr="00837D4A">
              <w:rPr>
                <w:rFonts w:ascii="Verdana" w:hAnsi="Verdana"/>
                <w:sz w:val="16"/>
                <w:szCs w:val="16"/>
              </w:rPr>
              <w:lastRenderedPageBreak/>
              <w:t>celebrar un convenio para cubrir la parte de la inversión que constituya la extensión o ampliación que se estime como económicamente inviable.</w:t>
            </w:r>
          </w:p>
        </w:tc>
        <w:tc>
          <w:tcPr>
            <w:tcW w:w="4649" w:type="dxa"/>
          </w:tcPr>
          <w:p w14:paraId="6424680D" w14:textId="3294875D"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lastRenderedPageBreak/>
              <w:t xml:space="preserve">If the extension or expansion is technically but not economically viable, the Permit Holder and the interested parties may enter into an agreement to </w:t>
            </w:r>
            <w:r w:rsidRPr="00837D4A">
              <w:rPr>
                <w:rFonts w:ascii="Verdana" w:hAnsi="Verdana"/>
                <w:sz w:val="16"/>
                <w:szCs w:val="16"/>
                <w:lang w:val="en-US"/>
              </w:rPr>
              <w:lastRenderedPageBreak/>
              <w:t>cover the portion of the investment that constitutes the extension or expansion that is deemed economically unviable.</w:t>
            </w:r>
          </w:p>
        </w:tc>
      </w:tr>
      <w:tr w:rsidR="009849AC" w:rsidRPr="002C0F16" w14:paraId="51F17876" w14:textId="63B8ADE3" w:rsidTr="00F867DE">
        <w:tc>
          <w:tcPr>
            <w:tcW w:w="4711" w:type="dxa"/>
          </w:tcPr>
          <w:p w14:paraId="65DFB361"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lastRenderedPageBreak/>
              <w:t>El plazo para realizar la extensión o ampliación debe ser convenido por las partes.</w:t>
            </w:r>
          </w:p>
        </w:tc>
        <w:tc>
          <w:tcPr>
            <w:tcW w:w="4649" w:type="dxa"/>
          </w:tcPr>
          <w:p w14:paraId="3EF3BE46" w14:textId="0719D90C"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The deadline for the extension or expansion must be agreed upon by the parties.</w:t>
            </w:r>
          </w:p>
        </w:tc>
      </w:tr>
      <w:tr w:rsidR="009849AC" w:rsidRPr="002C0F16" w14:paraId="256D0596" w14:textId="27D750FB" w:rsidTr="00F867DE">
        <w:tc>
          <w:tcPr>
            <w:tcW w:w="4711" w:type="dxa"/>
          </w:tcPr>
          <w:p w14:paraId="37A73A1C"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La Secretaría o la Comisión, según corresponda, pueden expedir los criterios para determinar la viabilidad económica de las extensiones y ampliaciones de los Sistemas de la persona Permisionaria a que se refiere este artículo.</w:t>
            </w:r>
          </w:p>
        </w:tc>
        <w:tc>
          <w:tcPr>
            <w:tcW w:w="4649" w:type="dxa"/>
          </w:tcPr>
          <w:p w14:paraId="0A4A86F4" w14:textId="44AAC1AE"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The Secretary or the Commission, as appropriate, may issue criteria to determine the economic viability of the extensions and expansions of the permit holder's systems referred to in this article.</w:t>
            </w:r>
          </w:p>
        </w:tc>
      </w:tr>
      <w:tr w:rsidR="009849AC" w:rsidRPr="002C0F16" w14:paraId="4D3B7BDF" w14:textId="6827E2FB" w:rsidTr="00F867DE">
        <w:tc>
          <w:tcPr>
            <w:tcW w:w="4711" w:type="dxa"/>
          </w:tcPr>
          <w:p w14:paraId="627C14EC"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En caso de no existir acuerdo entre las partes respecto de los convenios de inversión, se debe estar a lo que resuelva la Secretaría o la Comisión, conforme a la Ley Federal de Procedimiento Administrativo.</w:t>
            </w:r>
          </w:p>
        </w:tc>
        <w:tc>
          <w:tcPr>
            <w:tcW w:w="4649" w:type="dxa"/>
          </w:tcPr>
          <w:p w14:paraId="5D3B94B1" w14:textId="378202E9"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In the event that there is no agreement between the parties regarding investment agreements, the decision of the Secretary or the Commission must be followed, in accordance with the Federal Law of Administrative Procedure.</w:t>
            </w:r>
          </w:p>
        </w:tc>
      </w:tr>
      <w:tr w:rsidR="009849AC" w:rsidRPr="00D0180E" w14:paraId="2E8AC1DB" w14:textId="51C43E84" w:rsidTr="00F867DE">
        <w:tc>
          <w:tcPr>
            <w:tcW w:w="4711" w:type="dxa"/>
          </w:tcPr>
          <w:p w14:paraId="7E0C078E" w14:textId="77777777" w:rsidR="009849AC" w:rsidRPr="00837D4A" w:rsidRDefault="009849AC" w:rsidP="009849AC">
            <w:pPr>
              <w:pStyle w:val="Texto"/>
              <w:spacing w:after="86"/>
              <w:ind w:firstLine="0"/>
              <w:jc w:val="center"/>
              <w:rPr>
                <w:rFonts w:ascii="Verdana" w:hAnsi="Verdana"/>
                <w:b/>
                <w:sz w:val="16"/>
                <w:szCs w:val="16"/>
              </w:rPr>
            </w:pPr>
            <w:r w:rsidRPr="00837D4A">
              <w:rPr>
                <w:rFonts w:ascii="Verdana" w:hAnsi="Verdana"/>
                <w:b/>
                <w:sz w:val="16"/>
                <w:szCs w:val="16"/>
              </w:rPr>
              <w:t>Sección Quinta</w:t>
            </w:r>
          </w:p>
        </w:tc>
        <w:tc>
          <w:tcPr>
            <w:tcW w:w="4649" w:type="dxa"/>
          </w:tcPr>
          <w:p w14:paraId="709F1D3A" w14:textId="2A41DEB1" w:rsidR="009849AC" w:rsidRPr="00837D4A" w:rsidRDefault="009849AC" w:rsidP="009849AC">
            <w:pPr>
              <w:pStyle w:val="Texto"/>
              <w:spacing w:after="86"/>
              <w:ind w:firstLine="0"/>
              <w:jc w:val="center"/>
              <w:rPr>
                <w:rFonts w:ascii="Verdana" w:hAnsi="Verdana"/>
                <w:b/>
                <w:sz w:val="16"/>
                <w:szCs w:val="16"/>
                <w:lang w:val="en-US"/>
              </w:rPr>
            </w:pPr>
            <w:r w:rsidRPr="00837D4A">
              <w:rPr>
                <w:rFonts w:ascii="Verdana" w:hAnsi="Verdana"/>
                <w:b/>
                <w:sz w:val="16"/>
                <w:szCs w:val="16"/>
                <w:lang w:val="en-US"/>
              </w:rPr>
              <w:t>Fifth Section</w:t>
            </w:r>
          </w:p>
        </w:tc>
      </w:tr>
      <w:tr w:rsidR="009849AC" w:rsidRPr="002C0F16" w14:paraId="3B02940F" w14:textId="23311AA8" w:rsidTr="00F867DE">
        <w:tc>
          <w:tcPr>
            <w:tcW w:w="4711" w:type="dxa"/>
          </w:tcPr>
          <w:p w14:paraId="1C3BBE5C" w14:textId="77777777" w:rsidR="009849AC" w:rsidRPr="00837D4A" w:rsidRDefault="009849AC" w:rsidP="009849AC">
            <w:pPr>
              <w:pStyle w:val="Texto"/>
              <w:spacing w:after="86"/>
              <w:ind w:firstLine="0"/>
              <w:jc w:val="center"/>
              <w:rPr>
                <w:rFonts w:ascii="Verdana" w:hAnsi="Verdana"/>
                <w:b/>
                <w:sz w:val="16"/>
                <w:szCs w:val="16"/>
              </w:rPr>
            </w:pPr>
            <w:r w:rsidRPr="00837D4A">
              <w:rPr>
                <w:rFonts w:ascii="Verdana" w:hAnsi="Verdana"/>
                <w:b/>
                <w:sz w:val="16"/>
                <w:szCs w:val="16"/>
              </w:rPr>
              <w:t>De las Contraprestaciones, Precios y Tarifas</w:t>
            </w:r>
          </w:p>
        </w:tc>
        <w:tc>
          <w:tcPr>
            <w:tcW w:w="4649" w:type="dxa"/>
          </w:tcPr>
          <w:p w14:paraId="2DD857C1" w14:textId="3C08E818" w:rsidR="009849AC" w:rsidRPr="00837D4A" w:rsidRDefault="009849AC" w:rsidP="009849AC">
            <w:pPr>
              <w:pStyle w:val="Texto"/>
              <w:spacing w:after="86"/>
              <w:ind w:firstLine="0"/>
              <w:jc w:val="center"/>
              <w:rPr>
                <w:rFonts w:ascii="Verdana" w:hAnsi="Verdana"/>
                <w:b/>
                <w:sz w:val="16"/>
                <w:szCs w:val="16"/>
                <w:lang w:val="en-US"/>
              </w:rPr>
            </w:pPr>
            <w:r w:rsidRPr="00837D4A">
              <w:rPr>
                <w:rFonts w:ascii="Verdana" w:hAnsi="Verdana"/>
                <w:b/>
                <w:sz w:val="16"/>
                <w:szCs w:val="16"/>
                <w:lang w:val="en-US"/>
              </w:rPr>
              <w:t>Regarding Considerations, Prices and Rates</w:t>
            </w:r>
          </w:p>
        </w:tc>
      </w:tr>
      <w:tr w:rsidR="009849AC" w:rsidRPr="002C0F16" w14:paraId="5207DA6C" w14:textId="5FAB4DD8" w:rsidTr="00F867DE">
        <w:tc>
          <w:tcPr>
            <w:tcW w:w="4711" w:type="dxa"/>
          </w:tcPr>
          <w:p w14:paraId="6CF6C59C"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181.</w:t>
            </w:r>
            <w:r w:rsidRPr="00837D4A">
              <w:rPr>
                <w:rFonts w:ascii="Verdana" w:hAnsi="Verdana"/>
                <w:sz w:val="16"/>
                <w:szCs w:val="16"/>
              </w:rPr>
              <w:t xml:space="preserve"> Para cada actividad permisionada establecida en el artículo 76 de la Ley, la Comisión puede expedir la Normatividad para las contraprestaciones, precios o tarifas, la cual debe prever lo establecido en el artículo 117 de la Ley y demás disposiciones aplicables de dicho ordenamiento, así como lo dispuesto en la Ley de Planeación y Transición Energética y su reglamento, en congruencia con la planeación vinculante y las mejores prácticas del sector en materias de inversión y operación, que protejan los intereses de las personas Usuarias y Usuarias Finales y garanticen el bienestar de la población.</w:t>
            </w:r>
          </w:p>
        </w:tc>
        <w:tc>
          <w:tcPr>
            <w:tcW w:w="4649" w:type="dxa"/>
          </w:tcPr>
          <w:p w14:paraId="49D6434A" w14:textId="3C2E571D"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181. </w:t>
            </w:r>
            <w:r w:rsidRPr="00837D4A">
              <w:rPr>
                <w:rFonts w:ascii="Verdana" w:hAnsi="Verdana"/>
                <w:sz w:val="16"/>
                <w:szCs w:val="16"/>
                <w:lang w:val="en-US"/>
              </w:rPr>
              <w:t>For each permitted activity established in Article 76 of the Law, the Commission may issue the legislation for the consideration, prices or rates, which must provide for the provisions of Article 117 of the Law and other applicable provisions of said legislation, as well as the provisions of the Law of Energy Planning and Transition and its Regulation, in accordance with the binding planning and best practices of the sector in matters of investment and operation, which protect the interests of users and end users and guarantee the well-being of the population.</w:t>
            </w:r>
          </w:p>
        </w:tc>
      </w:tr>
      <w:tr w:rsidR="009849AC" w:rsidRPr="002C0F16" w14:paraId="1DB21DB7" w14:textId="3BE05655" w:rsidTr="00F867DE">
        <w:tc>
          <w:tcPr>
            <w:tcW w:w="4711" w:type="dxa"/>
          </w:tcPr>
          <w:p w14:paraId="125338AE"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Sin menoscabo de lo anterior, la aprobación de contraprestaciones, precios o tarifas está a cargo de la Comisión para todas las actividades reguladas.</w:t>
            </w:r>
          </w:p>
        </w:tc>
        <w:tc>
          <w:tcPr>
            <w:tcW w:w="4649" w:type="dxa"/>
          </w:tcPr>
          <w:p w14:paraId="285CDCA9" w14:textId="2F0314FC"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Without prejudice to the foregoing, the approval of compensation, prices or rates is the responsibility of the Commission for all regulated activities.</w:t>
            </w:r>
          </w:p>
        </w:tc>
      </w:tr>
      <w:tr w:rsidR="009849AC" w:rsidRPr="002C0F16" w14:paraId="6313347B" w14:textId="0D8A1ACF" w:rsidTr="00F867DE">
        <w:tc>
          <w:tcPr>
            <w:tcW w:w="4711" w:type="dxa"/>
          </w:tcPr>
          <w:p w14:paraId="552AB94A"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Adicionalmente, las contraprestaciones, precios o tarifas que autorice la Comisión deben constituir mecanismos que promuevan una demanda y uso racional de los bienes y servicios.</w:t>
            </w:r>
          </w:p>
        </w:tc>
        <w:tc>
          <w:tcPr>
            <w:tcW w:w="4649" w:type="dxa"/>
          </w:tcPr>
          <w:p w14:paraId="063341C2" w14:textId="2448D8FF"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Additionally, the compensation, prices, or rates authorized by the Commission must constitute mechanisms that promote rational demand and use of goods and services.</w:t>
            </w:r>
          </w:p>
        </w:tc>
      </w:tr>
      <w:tr w:rsidR="009849AC" w:rsidRPr="002C0F16" w14:paraId="60ED3C96" w14:textId="776E58AF" w:rsidTr="00F867DE">
        <w:tc>
          <w:tcPr>
            <w:tcW w:w="4711" w:type="dxa"/>
          </w:tcPr>
          <w:p w14:paraId="72D14266"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En la determinación de contraprestaciones, precios o tarifas, la Comisión debe emplear las herramientas de evaluación que considere convenientes para lograr sus objetivos regulatorios, para lo cual puede realizar ejercicios comparativos, aplicar los ajustes procedentes y, en su caso, emplear indicadores de desempeño.</w:t>
            </w:r>
          </w:p>
        </w:tc>
        <w:tc>
          <w:tcPr>
            <w:tcW w:w="4649" w:type="dxa"/>
          </w:tcPr>
          <w:p w14:paraId="5F4D2E07" w14:textId="19B97320"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In determining compensation, prices, or rates, the Commission must employ the evaluation tools it deems appropriate to achieve its regulatory objectives. To this end, it may conduct comparative exercises, apply appropriate adjustments, and, where appropriate, employ performance indicators.</w:t>
            </w:r>
          </w:p>
        </w:tc>
      </w:tr>
      <w:tr w:rsidR="009849AC" w:rsidRPr="002C0F16" w14:paraId="3C8F052B" w14:textId="2EEBB782" w:rsidTr="00F867DE">
        <w:tc>
          <w:tcPr>
            <w:tcW w:w="4711" w:type="dxa"/>
          </w:tcPr>
          <w:p w14:paraId="083A3850"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La determinación de contraprestaciones, precios o tarifas que apruebe la Comisión deben permitir que las personas Usuarias y Usuarias Finales tengan acceso a los bienes y servicios en condiciones de confiabilidad, seguridad y calidad, y no deben constituir prácticas monopólicas.</w:t>
            </w:r>
          </w:p>
        </w:tc>
        <w:tc>
          <w:tcPr>
            <w:tcW w:w="4649" w:type="dxa"/>
          </w:tcPr>
          <w:p w14:paraId="23EBBE76" w14:textId="7A8246D9"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The determination of compensation, prices, or rates approved by the Commission must allow users and end users to have access to goods and services under conditions of reliability, safety, and quality, and must not constitute monopolistic practices.</w:t>
            </w:r>
          </w:p>
        </w:tc>
      </w:tr>
      <w:tr w:rsidR="009849AC" w:rsidRPr="002C0F16" w14:paraId="2A058626" w14:textId="25F66C3E" w:rsidTr="00F867DE">
        <w:tc>
          <w:tcPr>
            <w:tcW w:w="4711" w:type="dxa"/>
          </w:tcPr>
          <w:p w14:paraId="55C60DA0"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Asimismo, la determinación de contraprestaciones debe permitir a la persona Permisionaria cubrir sus costos eficientes y obtener una rentabilidad razonable en términos del artículo 117, inciso b) de la Ley.</w:t>
            </w:r>
          </w:p>
        </w:tc>
        <w:tc>
          <w:tcPr>
            <w:tcW w:w="4649" w:type="dxa"/>
          </w:tcPr>
          <w:p w14:paraId="79A342EA" w14:textId="3ECC3331"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Likewise, the determination of consideration must allow the permit holder to cover their efficient costs and obtain a reasonable profitability in terms of article 117, paragraph b) of the Law.</w:t>
            </w:r>
          </w:p>
        </w:tc>
      </w:tr>
      <w:tr w:rsidR="009849AC" w:rsidRPr="002C0F16" w14:paraId="3983F1C2" w14:textId="074AF449" w:rsidTr="00F867DE">
        <w:tc>
          <w:tcPr>
            <w:tcW w:w="4711" w:type="dxa"/>
          </w:tcPr>
          <w:p w14:paraId="30F81D2C"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lastRenderedPageBreak/>
              <w:t>La Comisión puede requerir a las personas Permisionarias, en los términos y formatos que al efecto determine, la información de costos, condiciones de operación y demás elementos estadísticos, técnicos y financieros que permitan valorar el riesgo de las actividades, el desempeño, la operación y la calidad de la prestación del servicio, para efectos de la estructura tarifaria y sus ajustes, quienes están obligadas a entregarla en los plazos y términos que les sean requeridos.</w:t>
            </w:r>
          </w:p>
        </w:tc>
        <w:tc>
          <w:tcPr>
            <w:tcW w:w="4649" w:type="dxa"/>
          </w:tcPr>
          <w:p w14:paraId="618A4FF0" w14:textId="575AF7EA"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The Commission may require permit holders, in the terms and formats it determines, to provide information on costs, operating conditions, and other statistical, technical, and financial elements that allow for the assessment of the risk of the activities, performance, operation, and quality of service provision, for the purposes of the tariff structure and its adjustments. permit holders are required to provide such information within the timeframes and terms requested.</w:t>
            </w:r>
          </w:p>
        </w:tc>
      </w:tr>
      <w:tr w:rsidR="009849AC" w:rsidRPr="002C0F16" w14:paraId="11C736C6" w14:textId="1229859A" w:rsidTr="00F867DE">
        <w:tc>
          <w:tcPr>
            <w:tcW w:w="4711" w:type="dxa"/>
          </w:tcPr>
          <w:p w14:paraId="15DE71FA"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182.</w:t>
            </w:r>
            <w:r w:rsidRPr="00837D4A">
              <w:rPr>
                <w:rFonts w:ascii="Verdana" w:hAnsi="Verdana"/>
                <w:sz w:val="16"/>
                <w:szCs w:val="16"/>
              </w:rPr>
              <w:t xml:space="preserve"> Las contraprestaciones, precios o tarifas que apruebe la Comisión son máximas, la persona Permisionaria puede pactar acuerdos convencionales o descuentos en términos de los criterios que al efecto determine la Comisión en la Normatividad aplicable. En cualquier caso, la negociación de dichos acuerdos convencionales o el otorgamiento de descuentos deben sujetarse a principios de generalidad y no indebida discriminación.</w:t>
            </w:r>
          </w:p>
        </w:tc>
        <w:tc>
          <w:tcPr>
            <w:tcW w:w="4649" w:type="dxa"/>
          </w:tcPr>
          <w:p w14:paraId="5DF72F7F" w14:textId="230F255D"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182. </w:t>
            </w:r>
            <w:r w:rsidRPr="00837D4A">
              <w:rPr>
                <w:rFonts w:ascii="Verdana" w:hAnsi="Verdana"/>
                <w:sz w:val="16"/>
                <w:szCs w:val="16"/>
                <w:lang w:val="en-US"/>
              </w:rPr>
              <w:t>The compensation, prices, or rates approved by the Commission are maximum; the permit holder may enter into conventional agreements or discounts based on the criteria determined by the Commission in the applicable legislation. In any case, the negotiation of such conventional agreements or the granting of discounts must be subject to the principles of generality and non-undue discrimination.</w:t>
            </w:r>
          </w:p>
        </w:tc>
      </w:tr>
      <w:tr w:rsidR="009849AC" w:rsidRPr="002C0F16" w14:paraId="18D92E50" w14:textId="6EE61112" w:rsidTr="00F867DE">
        <w:tc>
          <w:tcPr>
            <w:tcW w:w="4711" w:type="dxa"/>
          </w:tcPr>
          <w:p w14:paraId="228D1130"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Asimismo, las contraprestaciones, precios o tarifas deben incluir todos los conceptos y cargos aplicables en función de las modalidades de prestación del servicio que se determinen.</w:t>
            </w:r>
          </w:p>
        </w:tc>
        <w:tc>
          <w:tcPr>
            <w:tcW w:w="4649" w:type="dxa"/>
          </w:tcPr>
          <w:p w14:paraId="0B29DC00" w14:textId="116F497D"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Likewise, the consideration, prices, or rates must include all applicable concepts and charges based on the service provision modalities determined.</w:t>
            </w:r>
          </w:p>
        </w:tc>
      </w:tr>
      <w:tr w:rsidR="009849AC" w:rsidRPr="002C0F16" w14:paraId="4C522429" w14:textId="5FE9943C" w:rsidTr="00F867DE">
        <w:tc>
          <w:tcPr>
            <w:tcW w:w="4711" w:type="dxa"/>
          </w:tcPr>
          <w:p w14:paraId="5ED27EAA"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183.</w:t>
            </w:r>
            <w:r w:rsidRPr="00837D4A">
              <w:rPr>
                <w:rFonts w:ascii="Verdana" w:hAnsi="Verdana"/>
                <w:sz w:val="16"/>
                <w:szCs w:val="16"/>
              </w:rPr>
              <w:t xml:space="preserve"> Las personas Permisionarias deben sujetarse en todo momento a la regulación económica en los acuerdos convencionales o descuentos que celebren para tal efecto, y deben informarlo a la Secretaría o la Comisión en un plazo no mayor a diez días hábiles posteriores a la firma de los acuerdos convencionales o descuentos.</w:t>
            </w:r>
          </w:p>
        </w:tc>
        <w:tc>
          <w:tcPr>
            <w:tcW w:w="4649" w:type="dxa"/>
          </w:tcPr>
          <w:p w14:paraId="1EE8B065" w14:textId="42382FC4"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183. </w:t>
            </w:r>
            <w:r w:rsidRPr="00837D4A">
              <w:rPr>
                <w:rFonts w:ascii="Verdana" w:hAnsi="Verdana"/>
                <w:sz w:val="16"/>
                <w:szCs w:val="16"/>
                <w:lang w:val="en-US"/>
              </w:rPr>
              <w:t>Permit holders must adhere at all times to the economic regulation in the conventional agreements or discounts they enter into for such purpose and must inform the Secretary or the Commission within a period of no more than ten business days after signing the conventional agreements or discounts.</w:t>
            </w:r>
          </w:p>
        </w:tc>
      </w:tr>
      <w:tr w:rsidR="009849AC" w:rsidRPr="002C0F16" w14:paraId="321FED96" w14:textId="5FC3CA10" w:rsidTr="00F867DE">
        <w:tc>
          <w:tcPr>
            <w:tcW w:w="4711" w:type="dxa"/>
          </w:tcPr>
          <w:p w14:paraId="06422206"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El incumplimiento a lo dispuesto en el párrafo anterior debe ser sancionado en términos de la Ley.</w:t>
            </w:r>
          </w:p>
        </w:tc>
        <w:tc>
          <w:tcPr>
            <w:tcW w:w="4649" w:type="dxa"/>
          </w:tcPr>
          <w:p w14:paraId="752BAA91" w14:textId="711ED287"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Failure to comply with the provisions of the preceding paragraph must be sanctioned in accordance with the law.</w:t>
            </w:r>
          </w:p>
        </w:tc>
      </w:tr>
      <w:tr w:rsidR="009849AC" w:rsidRPr="002C0F16" w14:paraId="75DE62A2" w14:textId="273B65F4" w:rsidTr="00F867DE">
        <w:tc>
          <w:tcPr>
            <w:tcW w:w="4711" w:type="dxa"/>
          </w:tcPr>
          <w:p w14:paraId="0DEA702F"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 xml:space="preserve">Artículo 184. </w:t>
            </w:r>
            <w:r w:rsidRPr="00837D4A">
              <w:rPr>
                <w:rFonts w:ascii="Verdana" w:hAnsi="Verdana"/>
                <w:sz w:val="16"/>
                <w:szCs w:val="16"/>
              </w:rPr>
              <w:t>Para el otorgamiento de los permisos sujetos a la obligación de Acceso Abierto No Indebidamente Discriminatorio no se requiere contar con la aprobación de las contraprestaciones, precios o tarifas reguladas.</w:t>
            </w:r>
          </w:p>
        </w:tc>
        <w:tc>
          <w:tcPr>
            <w:tcW w:w="4649" w:type="dxa"/>
          </w:tcPr>
          <w:p w14:paraId="2CC2FD0F" w14:textId="48A2488C"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184. </w:t>
            </w:r>
            <w:r w:rsidRPr="00837D4A">
              <w:rPr>
                <w:rFonts w:ascii="Verdana" w:hAnsi="Verdana"/>
                <w:sz w:val="16"/>
                <w:szCs w:val="16"/>
                <w:lang w:val="en-US"/>
              </w:rPr>
              <w:t>For the granting of permits subject to the obligation of non-unduly discriminatory open access, approval of the regulated compensation, prices or rates is not required.</w:t>
            </w:r>
          </w:p>
        </w:tc>
      </w:tr>
      <w:tr w:rsidR="009849AC" w:rsidRPr="002C0F16" w14:paraId="578EAE0A" w14:textId="4F7303DC" w:rsidTr="00F867DE">
        <w:tc>
          <w:tcPr>
            <w:tcW w:w="4711" w:type="dxa"/>
          </w:tcPr>
          <w:p w14:paraId="6F7ADD74"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Sin perjuicio de lo anterior, la aprobación de dichas contraprestaciones, precios o tarifas es un requisito previo al inicio de operaciones por lo que una vez otorgado el permiso debe iniciarse el procedimiento para su determinación, de acuerdo con el plazo establecido en el permiso y de conformidad con el artículo 187 del presente reglamento.</w:t>
            </w:r>
          </w:p>
        </w:tc>
        <w:tc>
          <w:tcPr>
            <w:tcW w:w="4649" w:type="dxa"/>
          </w:tcPr>
          <w:p w14:paraId="0A67FFD8" w14:textId="263007BD"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Without prejudice to the foregoing, the approval of such consideration, prices or rates is a prerequisite for the commencement of operations, so once the permit is granted, the procedure for its determination must be initiated, in accordance with the period established in the permit and in accordance with Article 187 of this regulation.</w:t>
            </w:r>
          </w:p>
        </w:tc>
      </w:tr>
      <w:tr w:rsidR="009849AC" w:rsidRPr="002C0F16" w14:paraId="79EAD0E6" w14:textId="52CEAAAE" w:rsidTr="00F867DE">
        <w:tc>
          <w:tcPr>
            <w:tcW w:w="4711" w:type="dxa"/>
          </w:tcPr>
          <w:p w14:paraId="17B79C10"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185.</w:t>
            </w:r>
            <w:r w:rsidRPr="00837D4A">
              <w:rPr>
                <w:rFonts w:ascii="Verdana" w:hAnsi="Verdana"/>
                <w:sz w:val="16"/>
                <w:szCs w:val="16"/>
              </w:rPr>
              <w:t xml:space="preserve"> La Secretaría o la Comisión deben expedir la Normatividad relativa a los formatos y especificaciones, para la determinación de las contraprestaciones, precios y tarifas de las actividades reguladas.</w:t>
            </w:r>
          </w:p>
        </w:tc>
        <w:tc>
          <w:tcPr>
            <w:tcW w:w="4649" w:type="dxa"/>
          </w:tcPr>
          <w:p w14:paraId="5D76AB4D" w14:textId="5390E828"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185. </w:t>
            </w:r>
            <w:r w:rsidRPr="00837D4A">
              <w:rPr>
                <w:rFonts w:ascii="Verdana" w:hAnsi="Verdana"/>
                <w:sz w:val="16"/>
                <w:szCs w:val="16"/>
                <w:lang w:val="en-US"/>
              </w:rPr>
              <w:t>The Secretary or the Commission must issue the legislation relating to the formats and specifications for determining the compensation, prices and rates for the regulated activities.</w:t>
            </w:r>
          </w:p>
        </w:tc>
      </w:tr>
      <w:tr w:rsidR="009849AC" w:rsidRPr="002C0F16" w14:paraId="4BA9331A" w14:textId="2C969DDD" w:rsidTr="00F867DE">
        <w:tc>
          <w:tcPr>
            <w:tcW w:w="4711" w:type="dxa"/>
          </w:tcPr>
          <w:p w14:paraId="405D0582"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186.</w:t>
            </w:r>
            <w:r w:rsidRPr="00837D4A">
              <w:rPr>
                <w:rFonts w:ascii="Verdana" w:hAnsi="Verdana"/>
                <w:sz w:val="16"/>
                <w:szCs w:val="16"/>
              </w:rPr>
              <w:t xml:space="preserve"> Para la aprobación y expedición de las contraprestaciones, precios y tarifas de las actividades reguladas, las personas interesadas deben presentar a la Secretaría o a la Comisión, la solicitud correspondiente en el formato habilitado, que debe incluir como mínimo los siguientes requisitos:</w:t>
            </w:r>
          </w:p>
        </w:tc>
        <w:tc>
          <w:tcPr>
            <w:tcW w:w="4649" w:type="dxa"/>
          </w:tcPr>
          <w:p w14:paraId="2932E88D" w14:textId="2321571E"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186. </w:t>
            </w:r>
            <w:r w:rsidRPr="00837D4A">
              <w:rPr>
                <w:rFonts w:ascii="Verdana" w:hAnsi="Verdana"/>
                <w:sz w:val="16"/>
                <w:szCs w:val="16"/>
                <w:lang w:val="en-US"/>
              </w:rPr>
              <w:t>For the approval and issuance of the consideration, prices and rates of the regulated activities, interested persons must submit to the Secretary or the Commission the corresponding application in the permitted format, which must include at least the following requirements:</w:t>
            </w:r>
          </w:p>
        </w:tc>
      </w:tr>
      <w:tr w:rsidR="009849AC" w:rsidRPr="002C0F16" w14:paraId="4E48F632" w14:textId="211024B8" w:rsidTr="00F867DE">
        <w:tc>
          <w:tcPr>
            <w:tcW w:w="4711" w:type="dxa"/>
          </w:tcPr>
          <w:p w14:paraId="351A5559"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lastRenderedPageBreak/>
              <w:t>I.</w:t>
            </w:r>
            <w:r w:rsidRPr="00837D4A">
              <w:rPr>
                <w:rFonts w:ascii="Verdana" w:hAnsi="Verdana"/>
                <w:b/>
                <w:sz w:val="16"/>
                <w:szCs w:val="16"/>
              </w:rPr>
              <w:tab/>
            </w:r>
            <w:r w:rsidRPr="00837D4A">
              <w:rPr>
                <w:rFonts w:ascii="Verdana" w:hAnsi="Verdana"/>
                <w:sz w:val="16"/>
                <w:szCs w:val="16"/>
              </w:rPr>
              <w:t>Acreditar el pago de derechos o aprovechamientos;</w:t>
            </w:r>
          </w:p>
        </w:tc>
        <w:tc>
          <w:tcPr>
            <w:tcW w:w="4649" w:type="dxa"/>
          </w:tcPr>
          <w:p w14:paraId="035D62DE" w14:textId="4F5846FB"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Verify payment of rights or benefits;</w:t>
            </w:r>
          </w:p>
        </w:tc>
      </w:tr>
      <w:tr w:rsidR="009849AC" w:rsidRPr="002C0F16" w14:paraId="57AF9BC8" w14:textId="30A67EB8" w:rsidTr="00F867DE">
        <w:tc>
          <w:tcPr>
            <w:tcW w:w="4711" w:type="dxa"/>
          </w:tcPr>
          <w:p w14:paraId="6019C536"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El Plan de negocios conforme a los formatos solicitados por la Secretaría o la Comisión mismos que deben de cumplir con la Contabilidad Regulatoria aplicable para la actividad, y</w:t>
            </w:r>
          </w:p>
        </w:tc>
        <w:tc>
          <w:tcPr>
            <w:tcW w:w="4649" w:type="dxa"/>
          </w:tcPr>
          <w:p w14:paraId="7E5828CA" w14:textId="7426079C"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business plan in accordance with the formats requested by the Secretary or the Commission, which must comply with the regulatory accounting applicable to the activity, and</w:t>
            </w:r>
          </w:p>
        </w:tc>
      </w:tr>
      <w:tr w:rsidR="009849AC" w:rsidRPr="002C0F16" w14:paraId="79352AC7" w14:textId="1721C652" w:rsidTr="00F867DE">
        <w:tc>
          <w:tcPr>
            <w:tcW w:w="4711" w:type="dxa"/>
          </w:tcPr>
          <w:p w14:paraId="06F82878"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El Modelo de cálculo de las contraprestaciones, precios y tarifas según corresponda.</w:t>
            </w:r>
          </w:p>
        </w:tc>
        <w:tc>
          <w:tcPr>
            <w:tcW w:w="4649" w:type="dxa"/>
          </w:tcPr>
          <w:p w14:paraId="05C1F1DD" w14:textId="1C208C84"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Model for calculating the consideration, prices and rates as appropriate.</w:t>
            </w:r>
          </w:p>
        </w:tc>
      </w:tr>
      <w:tr w:rsidR="009849AC" w:rsidRPr="002C0F16" w14:paraId="15973E17" w14:textId="7C6855FE" w:rsidTr="00F867DE">
        <w:tc>
          <w:tcPr>
            <w:tcW w:w="4711" w:type="dxa"/>
          </w:tcPr>
          <w:p w14:paraId="07B7146D"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187.</w:t>
            </w:r>
            <w:r w:rsidRPr="00837D4A">
              <w:rPr>
                <w:rFonts w:ascii="Verdana" w:hAnsi="Verdana"/>
                <w:sz w:val="16"/>
                <w:szCs w:val="16"/>
              </w:rPr>
              <w:t xml:space="preserve"> La solicitud para la aprobación y expedición de las contraprestaciones, precios y tarifas de las actividades reguladas, así como de la modificación de estas, se sujeta al siguiente procedimiento:</w:t>
            </w:r>
          </w:p>
        </w:tc>
        <w:tc>
          <w:tcPr>
            <w:tcW w:w="4649" w:type="dxa"/>
          </w:tcPr>
          <w:p w14:paraId="49B7DFA4" w14:textId="27BB71A8"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187. </w:t>
            </w:r>
            <w:r w:rsidRPr="00837D4A">
              <w:rPr>
                <w:rFonts w:ascii="Verdana" w:hAnsi="Verdana"/>
                <w:sz w:val="16"/>
                <w:szCs w:val="16"/>
                <w:lang w:val="en-US"/>
              </w:rPr>
              <w:t>The application for approval and issuance of the consideration, prices and rates for regulated activities, as well as their modification, is subject to the following procedure:</w:t>
            </w:r>
          </w:p>
        </w:tc>
      </w:tr>
      <w:tr w:rsidR="009849AC" w:rsidRPr="002C0F16" w14:paraId="36B15DA9" w14:textId="2E0B85D9" w:rsidTr="00F867DE">
        <w:tc>
          <w:tcPr>
            <w:tcW w:w="4711" w:type="dxa"/>
          </w:tcPr>
          <w:p w14:paraId="6635BD70"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Comisión debe llevar a cabo el análisis y evaluación de la solicitud, la cual debe acompañarse del pago de derechos o aprovechamientos correspondiente y los demás requisitos que se establezcan en este reglamento y la Normatividad que se emita, para lo cual tiene un plazo de ciento veinte días hábiles para resolver lo conducente.</w:t>
            </w:r>
          </w:p>
        </w:tc>
        <w:tc>
          <w:tcPr>
            <w:tcW w:w="4649" w:type="dxa"/>
          </w:tcPr>
          <w:p w14:paraId="0B1AA58F" w14:textId="255C742B"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Commission must carry out the analysis and evaluation of the application, which must be accompanied by the payment of the corresponding rights or benefits and the other requirements established in this regulation and the legislation issued, for which it has a period of one hundred and twenty business days to resolve the relevant matter.</w:t>
            </w:r>
          </w:p>
        </w:tc>
      </w:tr>
      <w:tr w:rsidR="009849AC" w:rsidRPr="002C0F16" w14:paraId="67149E69" w14:textId="184E1C9E" w:rsidTr="00F867DE">
        <w:tc>
          <w:tcPr>
            <w:tcW w:w="4711" w:type="dxa"/>
          </w:tcPr>
          <w:p w14:paraId="4D62EC6B"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Dicho plazo inicia a partir del día hábil siguiente en que la persona solicitante presente a la Secretaría o la Comisión el pago de derechos o aprovechamientos correspondiente;</w:t>
            </w:r>
          </w:p>
        </w:tc>
        <w:tc>
          <w:tcPr>
            <w:tcW w:w="4649" w:type="dxa"/>
          </w:tcPr>
          <w:p w14:paraId="07AC9FAF" w14:textId="32F92304"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This period begins on the next business day on which the applicant submits the corresponding payment of rights or benefits to the Secretary or the Commission;</w:t>
            </w:r>
          </w:p>
        </w:tc>
      </w:tr>
      <w:tr w:rsidR="009849AC" w:rsidRPr="002C0F16" w14:paraId="3CE1E036" w14:textId="0476BE97" w:rsidTr="00F867DE">
        <w:tc>
          <w:tcPr>
            <w:tcW w:w="4711" w:type="dxa"/>
          </w:tcPr>
          <w:p w14:paraId="1D0DFE4F"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Comisión, durante los primeros sesenta días hábiles del plazo referido en la fracción anterior, puede prevenir a la persona interesada para que dentro del plazo de diez días hábiles, contados a partir de que surta efectos la notificación, presente la información solicitada;</w:t>
            </w:r>
          </w:p>
        </w:tc>
        <w:tc>
          <w:tcPr>
            <w:tcW w:w="4649" w:type="dxa"/>
          </w:tcPr>
          <w:p w14:paraId="5A7A5B4E" w14:textId="1BBFC76C"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Commission, during the first sixty business days of the period referred to in the preceding section, may notify the interested party to submit the requested information within ten business days, counted from the date the notification takes effect;</w:t>
            </w:r>
          </w:p>
        </w:tc>
      </w:tr>
      <w:tr w:rsidR="009849AC" w:rsidRPr="002C0F16" w14:paraId="3B41BDCF" w14:textId="230D9EDF" w:rsidTr="00F867DE">
        <w:tc>
          <w:tcPr>
            <w:tcW w:w="4711" w:type="dxa"/>
          </w:tcPr>
          <w:p w14:paraId="40634458"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En cualquier momento del procedimiento, la Comisión puede requerir a la persona solicitante la información complementaria que considere necesaria; realizar investigaciones; recabar información de otras fuentes; efectuar consultas con las autoridades federales, estatales y locales; celebrar comparecencias, y realizar, en general, las acciones que considere necesarias para la evaluación de las contraprestaciones, precios y tarifas, y</w:t>
            </w:r>
          </w:p>
        </w:tc>
        <w:tc>
          <w:tcPr>
            <w:tcW w:w="4649" w:type="dxa"/>
          </w:tcPr>
          <w:p w14:paraId="5C949B30" w14:textId="751A64CC"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At any time during the procedure, the Commission may request from the applicant any additional information it deems necessary; conduct investigations; gather information from other sources; consult with federal, state and local authorities; hold hearings, and generally take any actions it deems necessary for the evaluation of the consideration, prices and rates, and</w:t>
            </w:r>
          </w:p>
        </w:tc>
      </w:tr>
      <w:tr w:rsidR="009849AC" w:rsidRPr="002C0F16" w14:paraId="0E056768" w14:textId="4C1279E5" w:rsidTr="00F867DE">
        <w:tc>
          <w:tcPr>
            <w:tcW w:w="4711" w:type="dxa"/>
          </w:tcPr>
          <w:p w14:paraId="641B7FDF"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Una vez efectuado el análisis correspondiente, la Comisión debe resolver la solicitud; bajo ningún supuesto la Comisión debe poner a vista de las personas Permisionarias los proyectos de resolución y sus anexos, ello a efecto de que el desarrollo de los mercados se oriente a garantizar la seguridad y la autosuficiencia energética de la Nación.</w:t>
            </w:r>
          </w:p>
        </w:tc>
        <w:tc>
          <w:tcPr>
            <w:tcW w:w="4649" w:type="dxa"/>
          </w:tcPr>
          <w:p w14:paraId="7BDB30E3" w14:textId="1099E6D7"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Once the corresponding analysis has been completed, the Commission must decide on the request; under no circumstances should the Commission make the draft resolutions and their annexes available to the permit holders, so that market development is geared toward ensuring the nation's energy security and self-sufficiency.</w:t>
            </w:r>
          </w:p>
        </w:tc>
      </w:tr>
      <w:tr w:rsidR="009849AC" w:rsidRPr="002C0F16" w14:paraId="7DBE8DB1" w14:textId="22EF677B" w:rsidTr="00F867DE">
        <w:tc>
          <w:tcPr>
            <w:tcW w:w="4711" w:type="dxa"/>
          </w:tcPr>
          <w:p w14:paraId="005CA8A6"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Cuando la Comisión prevenga o requiera a la persona interesada en términos de las fracciones II y III del presente artículo, según corresponda, el plazo para la emisión de la resolución se suspende a partir del día hábil siguiente de su notificación y debe reanudarse a partir del día hábil inmediato siguiente en que concluya el plazo otorgado.</w:t>
            </w:r>
          </w:p>
        </w:tc>
        <w:tc>
          <w:tcPr>
            <w:tcW w:w="4649" w:type="dxa"/>
          </w:tcPr>
          <w:p w14:paraId="5561ACA1" w14:textId="7B397BFA"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When the Commission warns or requires the interested party in terms of sections II and III of this article, as appropriate, the deadline for issuing the resolution is suspended as of the business day following its notification and must resume as of the business day immediately following the expiration of the deadline granted.</w:t>
            </w:r>
          </w:p>
        </w:tc>
      </w:tr>
      <w:tr w:rsidR="009849AC" w:rsidRPr="002C0F16" w14:paraId="7001CFD8" w14:textId="1F287940" w:rsidTr="00F867DE">
        <w:tc>
          <w:tcPr>
            <w:tcW w:w="4711" w:type="dxa"/>
          </w:tcPr>
          <w:p w14:paraId="124EB1A5"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lastRenderedPageBreak/>
              <w:t>Asimismo, la Comisión no está obligada a considerar la información presentada por las personas Permisionarias, que se haya exhibido fuera del plazo otorgado, de conformidad con las fracciones II y III del presente artículo, según corresponda.</w:t>
            </w:r>
          </w:p>
        </w:tc>
        <w:tc>
          <w:tcPr>
            <w:tcW w:w="4649" w:type="dxa"/>
          </w:tcPr>
          <w:p w14:paraId="6EC06124" w14:textId="3AD7D09C"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In addition, the Commission is not required to consider information submitted by permit holders that has been exhibited outside the time period granted, in accordance with Sections II and III of this article, as applicable.</w:t>
            </w:r>
          </w:p>
        </w:tc>
      </w:tr>
      <w:tr w:rsidR="009849AC" w:rsidRPr="002C0F16" w14:paraId="6D50369D" w14:textId="655B9A90" w:rsidTr="00F867DE">
        <w:tc>
          <w:tcPr>
            <w:tcW w:w="4711" w:type="dxa"/>
          </w:tcPr>
          <w:p w14:paraId="108F878F"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188.</w:t>
            </w:r>
            <w:r w:rsidRPr="00837D4A">
              <w:rPr>
                <w:rFonts w:ascii="Verdana" w:hAnsi="Verdana"/>
                <w:sz w:val="16"/>
                <w:szCs w:val="16"/>
              </w:rPr>
              <w:t xml:space="preserve"> La Comisión debe determinar la contraprestación, precio o tarifa de forma oficiosa, de conformidad con lo establecido en la Normatividad vigente, en caso de que el solicitante no desahogue la prevención referida en la fracción II del artículo anterior, sin perjuicio de las sanciones que correspondan.</w:t>
            </w:r>
          </w:p>
        </w:tc>
        <w:tc>
          <w:tcPr>
            <w:tcW w:w="4649" w:type="dxa"/>
          </w:tcPr>
          <w:p w14:paraId="06456327" w14:textId="3B8272D2"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188. </w:t>
            </w:r>
            <w:r w:rsidRPr="00837D4A">
              <w:rPr>
                <w:rFonts w:ascii="Verdana" w:hAnsi="Verdana"/>
                <w:sz w:val="16"/>
                <w:szCs w:val="16"/>
                <w:lang w:val="en-US"/>
              </w:rPr>
              <w:t xml:space="preserve">The Commission must determine the consideration, price or rate </w:t>
            </w:r>
            <w:r w:rsidRPr="00837D4A">
              <w:rPr>
                <w:rFonts w:ascii="Verdana" w:hAnsi="Verdana"/>
                <w:i/>
                <w:iCs/>
                <w:sz w:val="16"/>
                <w:szCs w:val="16"/>
                <w:lang w:val="en-US"/>
              </w:rPr>
              <w:t>ex officio</w:t>
            </w:r>
            <w:r w:rsidRPr="00837D4A">
              <w:rPr>
                <w:rFonts w:ascii="Verdana" w:hAnsi="Verdana"/>
                <w:sz w:val="16"/>
                <w:szCs w:val="16"/>
                <w:lang w:val="en-US"/>
              </w:rPr>
              <w:t>, in accordance with the provisions of the current legislation, in the event that the applicant does not address the prevention</w:t>
            </w:r>
            <w:r w:rsidRPr="00837D4A">
              <w:rPr>
                <w:rStyle w:val="FootnoteReference"/>
                <w:rFonts w:ascii="Verdana" w:hAnsi="Verdana"/>
                <w:sz w:val="16"/>
                <w:szCs w:val="16"/>
                <w:lang w:val="en-US"/>
              </w:rPr>
              <w:footnoteReference w:id="4"/>
            </w:r>
            <w:r w:rsidRPr="00837D4A">
              <w:rPr>
                <w:rFonts w:ascii="Verdana" w:hAnsi="Verdana"/>
                <w:sz w:val="16"/>
                <w:szCs w:val="16"/>
                <w:lang w:val="en-US"/>
              </w:rPr>
              <w:t xml:space="preserve"> referred to in Section II of the preceding article, without prejudice to the corresponding sanctions.</w:t>
            </w:r>
          </w:p>
        </w:tc>
      </w:tr>
      <w:tr w:rsidR="009849AC" w:rsidRPr="002C0F16" w14:paraId="364F28BD" w14:textId="2EF984AB" w:rsidTr="00F867DE">
        <w:tc>
          <w:tcPr>
            <w:tcW w:w="4711" w:type="dxa"/>
          </w:tcPr>
          <w:p w14:paraId="394C11AF"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189.</w:t>
            </w:r>
            <w:r w:rsidRPr="00837D4A">
              <w:rPr>
                <w:rFonts w:ascii="Verdana" w:hAnsi="Verdana"/>
                <w:sz w:val="16"/>
                <w:szCs w:val="16"/>
              </w:rPr>
              <w:t xml:space="preserve"> Las personas Permisionarias en ningún momento del procedimiento deben presentar a la Comisión información que modifique la propuesta de contraprestaciones, precios o tarifas contenida en la solicitud que refiere el artículo 187, fracción I del presente reglamento, y que no haya sido objeto de las fracciones II y III del artículo referido.</w:t>
            </w:r>
          </w:p>
        </w:tc>
        <w:tc>
          <w:tcPr>
            <w:tcW w:w="4649" w:type="dxa"/>
          </w:tcPr>
          <w:p w14:paraId="3563621F" w14:textId="3F557602"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189. </w:t>
            </w:r>
            <w:r w:rsidRPr="00837D4A">
              <w:rPr>
                <w:rFonts w:ascii="Verdana" w:hAnsi="Verdana"/>
                <w:sz w:val="16"/>
                <w:szCs w:val="16"/>
                <w:lang w:val="en-US"/>
              </w:rPr>
              <w:t>Permit holders must not, at any time during the procedure, submit to the Commission information that modifies the proposal for compensation, prices or rates contained in the application referred to in Article 187, Section I of this regulation, which has not been the subject of Sections II and III of the aforementioned article.</w:t>
            </w:r>
          </w:p>
        </w:tc>
      </w:tr>
      <w:tr w:rsidR="009849AC" w:rsidRPr="00D0180E" w14:paraId="7EC7ACA6" w14:textId="40B81C79" w:rsidTr="00F867DE">
        <w:tc>
          <w:tcPr>
            <w:tcW w:w="4711" w:type="dxa"/>
          </w:tcPr>
          <w:p w14:paraId="15DA9D0D"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Sección Sexta</w:t>
            </w:r>
          </w:p>
        </w:tc>
        <w:tc>
          <w:tcPr>
            <w:tcW w:w="4649" w:type="dxa"/>
          </w:tcPr>
          <w:p w14:paraId="7229264B" w14:textId="3243785A" w:rsidR="009849AC" w:rsidRPr="00837D4A" w:rsidRDefault="009849AC" w:rsidP="009849AC">
            <w:pPr>
              <w:pStyle w:val="Texto"/>
              <w:spacing w:line="224" w:lineRule="exact"/>
              <w:ind w:firstLine="0"/>
              <w:jc w:val="center"/>
              <w:rPr>
                <w:rFonts w:ascii="Verdana" w:hAnsi="Verdana"/>
                <w:b/>
                <w:sz w:val="16"/>
                <w:szCs w:val="16"/>
                <w:lang w:val="en-US"/>
              </w:rPr>
            </w:pPr>
            <w:proofErr w:type="spellStart"/>
            <w:r w:rsidRPr="00837D4A">
              <w:rPr>
                <w:rFonts w:ascii="Verdana" w:hAnsi="Verdana"/>
                <w:b/>
                <w:sz w:val="16"/>
                <w:szCs w:val="16"/>
              </w:rPr>
              <w:t>Sixth</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D0180E" w14:paraId="5DA8B2A2" w14:textId="2FAF115E" w:rsidTr="00F867DE">
        <w:tc>
          <w:tcPr>
            <w:tcW w:w="4711" w:type="dxa"/>
          </w:tcPr>
          <w:p w14:paraId="4D374D99" w14:textId="77777777" w:rsidR="009849AC" w:rsidRPr="00837D4A" w:rsidRDefault="009849AC" w:rsidP="009849AC">
            <w:pPr>
              <w:pStyle w:val="Texto"/>
              <w:spacing w:line="224" w:lineRule="exact"/>
              <w:ind w:firstLine="0"/>
              <w:jc w:val="center"/>
              <w:rPr>
                <w:rFonts w:ascii="Verdana" w:hAnsi="Verdana"/>
                <w:b/>
                <w:sz w:val="16"/>
                <w:szCs w:val="16"/>
              </w:rPr>
            </w:pPr>
            <w:r w:rsidRPr="00837D4A">
              <w:rPr>
                <w:rFonts w:ascii="Verdana" w:hAnsi="Verdana"/>
                <w:b/>
                <w:sz w:val="16"/>
                <w:szCs w:val="16"/>
              </w:rPr>
              <w:t>De las Licitaciones del CENAGAS</w:t>
            </w:r>
          </w:p>
        </w:tc>
        <w:tc>
          <w:tcPr>
            <w:tcW w:w="4649" w:type="dxa"/>
          </w:tcPr>
          <w:p w14:paraId="6A3A2261" w14:textId="2A2914B1" w:rsidR="009849AC" w:rsidRPr="00837D4A" w:rsidRDefault="009849AC" w:rsidP="009849AC">
            <w:pPr>
              <w:pStyle w:val="Texto"/>
              <w:spacing w:line="224" w:lineRule="exact"/>
              <w:ind w:firstLine="0"/>
              <w:jc w:val="center"/>
              <w:rPr>
                <w:rFonts w:ascii="Verdana" w:hAnsi="Verdana"/>
                <w:b/>
                <w:sz w:val="16"/>
                <w:szCs w:val="16"/>
                <w:lang w:val="en-US"/>
              </w:rPr>
            </w:pPr>
            <w:proofErr w:type="spellStart"/>
            <w:r w:rsidRPr="00837D4A">
              <w:rPr>
                <w:rFonts w:ascii="Verdana" w:hAnsi="Verdana"/>
                <w:b/>
                <w:sz w:val="16"/>
                <w:szCs w:val="16"/>
              </w:rPr>
              <w:t>Bids</w:t>
            </w:r>
            <w:proofErr w:type="spellEnd"/>
            <w:r w:rsidRPr="00837D4A">
              <w:rPr>
                <w:rFonts w:ascii="Verdana" w:hAnsi="Verdana"/>
                <w:b/>
                <w:sz w:val="16"/>
                <w:szCs w:val="16"/>
              </w:rPr>
              <w:t xml:space="preserve"> </w:t>
            </w:r>
            <w:proofErr w:type="spellStart"/>
            <w:r w:rsidRPr="00837D4A">
              <w:rPr>
                <w:rFonts w:ascii="Verdana" w:hAnsi="Verdana"/>
                <w:b/>
                <w:sz w:val="16"/>
                <w:szCs w:val="16"/>
              </w:rPr>
              <w:t>From</w:t>
            </w:r>
            <w:proofErr w:type="spellEnd"/>
            <w:r w:rsidRPr="00837D4A">
              <w:rPr>
                <w:rFonts w:ascii="Verdana" w:hAnsi="Verdana"/>
                <w:b/>
                <w:sz w:val="16"/>
                <w:szCs w:val="16"/>
              </w:rPr>
              <w:t xml:space="preserve"> CENAGAS </w:t>
            </w:r>
          </w:p>
        </w:tc>
      </w:tr>
      <w:tr w:rsidR="009849AC" w:rsidRPr="002C0F16" w14:paraId="5F5B41C9" w14:textId="5345DE45" w:rsidTr="00F867DE">
        <w:tc>
          <w:tcPr>
            <w:tcW w:w="4711" w:type="dxa"/>
          </w:tcPr>
          <w:p w14:paraId="2BD9D8B4"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190.</w:t>
            </w:r>
            <w:r w:rsidRPr="00837D4A">
              <w:rPr>
                <w:rFonts w:ascii="Verdana" w:hAnsi="Verdana"/>
                <w:sz w:val="16"/>
                <w:szCs w:val="16"/>
              </w:rPr>
              <w:t xml:space="preserve"> La Secretaría debe establecer, en la Normatividad que emita, los criterios que debe observar el CENAGAS en la elaboración de las bases para licitar los proyectos a que se refiere el artículo 103  de la Ley.</w:t>
            </w:r>
          </w:p>
        </w:tc>
        <w:tc>
          <w:tcPr>
            <w:tcW w:w="4649" w:type="dxa"/>
          </w:tcPr>
          <w:p w14:paraId="3A6CE0A6" w14:textId="6051058E"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190. </w:t>
            </w:r>
            <w:r w:rsidRPr="00837D4A">
              <w:rPr>
                <w:rFonts w:ascii="Verdana" w:hAnsi="Verdana"/>
                <w:sz w:val="16"/>
                <w:szCs w:val="16"/>
                <w:lang w:val="en-US"/>
              </w:rPr>
              <w:t>The Secretary must establish, in the legislation it issues, the criteria that CENAGAS must observe in preparing the criteria for bidding for the projects referred to in Article 103 of the Law.</w:t>
            </w:r>
          </w:p>
        </w:tc>
      </w:tr>
      <w:tr w:rsidR="009849AC" w:rsidRPr="002C0F16" w14:paraId="1C6A0EFA" w14:textId="7DF30323" w:rsidTr="00F867DE">
        <w:tc>
          <w:tcPr>
            <w:tcW w:w="4711" w:type="dxa"/>
          </w:tcPr>
          <w:p w14:paraId="4AF7B866"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Artículo 191.</w:t>
            </w:r>
            <w:r w:rsidRPr="00837D4A">
              <w:rPr>
                <w:rFonts w:ascii="Verdana" w:hAnsi="Verdana"/>
                <w:sz w:val="16"/>
                <w:szCs w:val="16"/>
              </w:rPr>
              <w:t xml:space="preserve"> En términos del artículo anterior, el CENAGAS se debe sujetar al siguiente procedimiento en las licitaciones que lleve a cabo:</w:t>
            </w:r>
          </w:p>
        </w:tc>
        <w:tc>
          <w:tcPr>
            <w:tcW w:w="4649" w:type="dxa"/>
          </w:tcPr>
          <w:p w14:paraId="6ECC56D0" w14:textId="1FCF4221"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Article 191. </w:t>
            </w:r>
            <w:r w:rsidRPr="00837D4A">
              <w:rPr>
                <w:rFonts w:ascii="Verdana" w:hAnsi="Verdana"/>
                <w:sz w:val="16"/>
                <w:szCs w:val="16"/>
                <w:lang w:val="en-US"/>
              </w:rPr>
              <w:t>In terms of the preceding article, CENAGAS must adhere to the following procedure in the bidding it carries out:</w:t>
            </w:r>
          </w:p>
        </w:tc>
      </w:tr>
      <w:tr w:rsidR="009849AC" w:rsidRPr="00D0180E" w14:paraId="7ED7765E" w14:textId="302B6891" w:rsidTr="00F867DE">
        <w:tc>
          <w:tcPr>
            <w:tcW w:w="4711" w:type="dxa"/>
          </w:tcPr>
          <w:p w14:paraId="2BCD5235"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Debe publicar las bases preliminares, a efecto de recibir comentarios en los medios de difusión que determine el CENAGAS. Estas bases también se publican en su página electrónica durante un plazo mínimo de diez días hábiles. Las bases preliminares deben contener como mínimo lo siguiente:</w:t>
            </w:r>
          </w:p>
        </w:tc>
        <w:tc>
          <w:tcPr>
            <w:tcW w:w="4649" w:type="dxa"/>
          </w:tcPr>
          <w:p w14:paraId="0C575806" w14:textId="2727AF7E"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preliminary guidelines must be published for comment in the media outlets determined by CENAGAS. These guidelines are also published on its website for a minimum period of ten business days. The preliminary guidelines must contain at least the following:</w:t>
            </w:r>
          </w:p>
        </w:tc>
      </w:tr>
      <w:tr w:rsidR="009849AC" w:rsidRPr="00D0180E" w14:paraId="2E4DBD8C" w14:textId="0DD88D63" w:rsidTr="00F867DE">
        <w:tc>
          <w:tcPr>
            <w:tcW w:w="4711" w:type="dxa"/>
          </w:tcPr>
          <w:p w14:paraId="2AE5006A"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Características del proyecto;</w:t>
            </w:r>
          </w:p>
        </w:tc>
        <w:tc>
          <w:tcPr>
            <w:tcW w:w="4649" w:type="dxa"/>
          </w:tcPr>
          <w:p w14:paraId="47B4D313" w14:textId="388439B5"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Project characteristics;</w:t>
            </w:r>
          </w:p>
        </w:tc>
      </w:tr>
      <w:tr w:rsidR="009849AC" w:rsidRPr="002C0F16" w14:paraId="3CB8C201" w14:textId="7F125E02" w:rsidTr="00F867DE">
        <w:tc>
          <w:tcPr>
            <w:tcW w:w="4711" w:type="dxa"/>
          </w:tcPr>
          <w:p w14:paraId="776D71EE"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Información económica y técnica requerida;</w:t>
            </w:r>
          </w:p>
        </w:tc>
        <w:tc>
          <w:tcPr>
            <w:tcW w:w="4649" w:type="dxa"/>
          </w:tcPr>
          <w:p w14:paraId="7EAD7852" w14:textId="43A6B2CA"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Required economic and technical information;</w:t>
            </w:r>
          </w:p>
        </w:tc>
      </w:tr>
      <w:tr w:rsidR="009849AC" w:rsidRPr="002C0F16" w14:paraId="2E433822" w14:textId="5FEDDCE5" w:rsidTr="00F867DE">
        <w:tc>
          <w:tcPr>
            <w:tcW w:w="4711" w:type="dxa"/>
          </w:tcPr>
          <w:p w14:paraId="16F774A9"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Metodología de evaluación de los participantes en el procedimiento de licitación, que puede contemplar fases de precalificación técnica de los participantes;</w:t>
            </w:r>
          </w:p>
        </w:tc>
        <w:tc>
          <w:tcPr>
            <w:tcW w:w="4649" w:type="dxa"/>
          </w:tcPr>
          <w:p w14:paraId="434027D1" w14:textId="6D25C7A5"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Methodology for evaluating participants in the bidding procedure, which may include technical prequalification phases for participants;</w:t>
            </w:r>
          </w:p>
        </w:tc>
      </w:tr>
      <w:tr w:rsidR="009849AC" w:rsidRPr="00D0180E" w14:paraId="55480F9C" w14:textId="0F44429D" w:rsidTr="00F867DE">
        <w:tc>
          <w:tcPr>
            <w:tcW w:w="4711" w:type="dxa"/>
          </w:tcPr>
          <w:p w14:paraId="63CD47CB"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d)</w:t>
            </w:r>
            <w:r w:rsidRPr="00837D4A">
              <w:rPr>
                <w:rFonts w:ascii="Verdana" w:hAnsi="Verdana"/>
                <w:b/>
                <w:sz w:val="16"/>
                <w:szCs w:val="16"/>
              </w:rPr>
              <w:tab/>
            </w:r>
            <w:r w:rsidRPr="00837D4A">
              <w:rPr>
                <w:rFonts w:ascii="Verdana" w:hAnsi="Verdana"/>
                <w:sz w:val="16"/>
                <w:szCs w:val="16"/>
              </w:rPr>
              <w:t>Modelo de contrato, y</w:t>
            </w:r>
          </w:p>
        </w:tc>
        <w:tc>
          <w:tcPr>
            <w:tcW w:w="4649" w:type="dxa"/>
          </w:tcPr>
          <w:p w14:paraId="48BC31AA" w14:textId="5D690418"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d) </w:t>
            </w:r>
            <w:r w:rsidRPr="00837D4A">
              <w:rPr>
                <w:rFonts w:ascii="Verdana" w:hAnsi="Verdana"/>
                <w:b/>
                <w:sz w:val="16"/>
                <w:szCs w:val="16"/>
                <w:lang w:val="en-US"/>
              </w:rPr>
              <w:tab/>
            </w:r>
            <w:r w:rsidRPr="00837D4A">
              <w:rPr>
                <w:rFonts w:ascii="Verdana" w:hAnsi="Verdana"/>
                <w:sz w:val="16"/>
                <w:szCs w:val="16"/>
                <w:lang w:val="en-US"/>
              </w:rPr>
              <w:t>Contract model, and</w:t>
            </w:r>
          </w:p>
        </w:tc>
      </w:tr>
      <w:tr w:rsidR="009849AC" w:rsidRPr="002C0F16" w14:paraId="33FEF012" w14:textId="76CA1C2C" w:rsidTr="00F867DE">
        <w:tc>
          <w:tcPr>
            <w:tcW w:w="4711" w:type="dxa"/>
          </w:tcPr>
          <w:p w14:paraId="488BBDD8"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t>e)</w:t>
            </w:r>
            <w:r w:rsidRPr="00837D4A">
              <w:rPr>
                <w:rFonts w:ascii="Verdana" w:hAnsi="Verdana"/>
                <w:b/>
                <w:sz w:val="16"/>
                <w:szCs w:val="16"/>
              </w:rPr>
              <w:tab/>
            </w:r>
            <w:r w:rsidRPr="00837D4A">
              <w:rPr>
                <w:rFonts w:ascii="Verdana" w:hAnsi="Verdana"/>
                <w:sz w:val="16"/>
                <w:szCs w:val="16"/>
              </w:rPr>
              <w:t>Los plazos y etapas del procedimiento licitatorio;</w:t>
            </w:r>
          </w:p>
        </w:tc>
        <w:tc>
          <w:tcPr>
            <w:tcW w:w="4649" w:type="dxa"/>
          </w:tcPr>
          <w:p w14:paraId="42A7C6E2" w14:textId="20CEF000"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e) </w:t>
            </w:r>
            <w:r w:rsidRPr="00837D4A">
              <w:rPr>
                <w:rFonts w:ascii="Verdana" w:hAnsi="Verdana"/>
                <w:b/>
                <w:sz w:val="16"/>
                <w:szCs w:val="16"/>
                <w:lang w:val="en-US"/>
              </w:rPr>
              <w:tab/>
            </w:r>
            <w:r w:rsidRPr="00837D4A">
              <w:rPr>
                <w:rFonts w:ascii="Verdana" w:hAnsi="Verdana"/>
                <w:sz w:val="16"/>
                <w:szCs w:val="16"/>
                <w:lang w:val="en-US"/>
              </w:rPr>
              <w:t>The deadlines and stages of the bidding process;</w:t>
            </w:r>
          </w:p>
        </w:tc>
      </w:tr>
      <w:tr w:rsidR="009849AC" w:rsidRPr="002C0F16" w14:paraId="566B435C" w14:textId="3985B287" w:rsidTr="00F867DE">
        <w:tc>
          <w:tcPr>
            <w:tcW w:w="4711" w:type="dxa"/>
          </w:tcPr>
          <w:p w14:paraId="564CABE5" w14:textId="77777777" w:rsidR="009849AC" w:rsidRPr="00837D4A" w:rsidRDefault="009849AC" w:rsidP="009849AC">
            <w:pPr>
              <w:pStyle w:val="Texto"/>
              <w:spacing w:line="244"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El CENAGAS debe elaborar las bases, tomar en cuenta los comentarios recibidos y debe presentarlas a la Secretaría para su aprobación;</w:t>
            </w:r>
          </w:p>
        </w:tc>
        <w:tc>
          <w:tcPr>
            <w:tcW w:w="4649" w:type="dxa"/>
          </w:tcPr>
          <w:p w14:paraId="591ECA7F" w14:textId="75214A39"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CENAGAS must prepare the criteria, taking into account the comments received and must submit them to the Secretary for approval;</w:t>
            </w:r>
          </w:p>
        </w:tc>
      </w:tr>
      <w:tr w:rsidR="009849AC" w:rsidRPr="002C0F16" w14:paraId="7336C4E2" w14:textId="0D4B41BB" w:rsidTr="00F867DE">
        <w:tc>
          <w:tcPr>
            <w:tcW w:w="4711" w:type="dxa"/>
          </w:tcPr>
          <w:p w14:paraId="6C041216" w14:textId="77777777" w:rsidR="009849AC" w:rsidRPr="00837D4A" w:rsidRDefault="009849AC" w:rsidP="009849AC">
            <w:pPr>
              <w:pStyle w:val="Texto"/>
              <w:spacing w:line="244" w:lineRule="exact"/>
              <w:ind w:firstLine="0"/>
              <w:rPr>
                <w:rFonts w:ascii="Verdana" w:hAnsi="Verdana"/>
                <w:b/>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El CENAGAS debe definir el plazo que aplica entre la fecha de publicación de la convocatoria y el acto de recepción de propuestas y apertura de ofertas técnicas, el cual no puede ser menor a noventa días hábiles ni exceder de doscientos diez días hábiles para que los interesados realicen los estudios técnicos, financieros y económicos necesarios para integrar sus propuestas y se lleven a cabo las juntas de aclaraciones, y</w:t>
            </w:r>
          </w:p>
        </w:tc>
        <w:tc>
          <w:tcPr>
            <w:tcW w:w="4649" w:type="dxa"/>
          </w:tcPr>
          <w:p w14:paraId="1B256360" w14:textId="6ED8445F"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CENAGAS must define the period that applies between the date of publication of the call and the act of receiving proposals and opening technical offers, which cannot be less than ninety business days nor exceed two hundred and ten business days for interested parties to carry out the technical, financial and economic studies necessary to integrate their proposals and for the clarification meetings to be held, and</w:t>
            </w:r>
          </w:p>
        </w:tc>
      </w:tr>
      <w:tr w:rsidR="009849AC" w:rsidRPr="002C0F16" w14:paraId="0FCA1777" w14:textId="04621572" w:rsidTr="00F867DE">
        <w:tc>
          <w:tcPr>
            <w:tcW w:w="4711" w:type="dxa"/>
          </w:tcPr>
          <w:p w14:paraId="172C0BB7" w14:textId="77777777" w:rsidR="009849AC" w:rsidRPr="00837D4A" w:rsidRDefault="009849AC" w:rsidP="009849AC">
            <w:pPr>
              <w:pStyle w:val="Texto"/>
              <w:spacing w:line="244"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El fallo de la licitación debe realizarse en una sesión pública.</w:t>
            </w:r>
          </w:p>
        </w:tc>
        <w:tc>
          <w:tcPr>
            <w:tcW w:w="4649" w:type="dxa"/>
          </w:tcPr>
          <w:p w14:paraId="41DD7966" w14:textId="79C3EDF0"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tender decision must be made in a public session.</w:t>
            </w:r>
          </w:p>
        </w:tc>
      </w:tr>
      <w:tr w:rsidR="009849AC" w:rsidRPr="002C0F16" w14:paraId="42AB5F2C" w14:textId="688726BA" w:rsidTr="00F867DE">
        <w:tc>
          <w:tcPr>
            <w:tcW w:w="4711" w:type="dxa"/>
          </w:tcPr>
          <w:p w14:paraId="56F2FB9B"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Lo establecido en el presente artículo debe ser aplicable a las empresas públicas del Estado, cuando se encuentren en el supuesto previsto en el artículo 103, sexto párrafo de la Ley.</w:t>
            </w:r>
          </w:p>
        </w:tc>
        <w:tc>
          <w:tcPr>
            <w:tcW w:w="4649" w:type="dxa"/>
          </w:tcPr>
          <w:p w14:paraId="23E5A442" w14:textId="6C8C1316"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The provisions of this article shall apply to state-owned enterprises when they fall within the circumstances provided for in Article 103, sixth paragraph, of the Law.</w:t>
            </w:r>
          </w:p>
        </w:tc>
      </w:tr>
      <w:tr w:rsidR="009849AC" w:rsidRPr="002C0F16" w14:paraId="111806D2" w14:textId="3BDB4707" w:rsidTr="00F867DE">
        <w:tc>
          <w:tcPr>
            <w:tcW w:w="4711" w:type="dxa"/>
          </w:tcPr>
          <w:p w14:paraId="436EEA1C"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192.</w:t>
            </w:r>
            <w:r w:rsidRPr="00837D4A">
              <w:rPr>
                <w:rFonts w:ascii="Verdana" w:hAnsi="Verdana"/>
                <w:sz w:val="16"/>
                <w:szCs w:val="16"/>
              </w:rPr>
              <w:t xml:space="preserve"> Para efectos de la determinación de la tarifa regulada de los proyectos licitados por el CENAGAS, por sí mismo o con el apoyo de las empresas públicas del Estado o Particulares de conformidad con el artículo 117, segundo párrafo de la Ley, la Secretaría o la Comisión deben emplear los elementos relacionados con los costos fijos y rentabilidad de la propuesta que haya resultado ganadora en un proceso de licitación realizado de acuerdo con los criterios aprobados por dicha autoridad en las bases correspondientes. La Secretaría o la Comisión deben establecer, mediante la Normatividad aplicable, los criterios y elementos para el tratamiento del componente de costos variables de dicha propuesta.</w:t>
            </w:r>
          </w:p>
        </w:tc>
        <w:tc>
          <w:tcPr>
            <w:tcW w:w="4649" w:type="dxa"/>
          </w:tcPr>
          <w:p w14:paraId="6640A338" w14:textId="72340F98"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192. </w:t>
            </w:r>
            <w:r w:rsidRPr="00837D4A">
              <w:rPr>
                <w:rFonts w:ascii="Verdana" w:hAnsi="Verdana"/>
                <w:sz w:val="16"/>
                <w:szCs w:val="16"/>
                <w:lang w:val="en-US"/>
              </w:rPr>
              <w:t>For the purposes of determining the regulated rate for projects tendered by CENAGAS, either on its own or with the support of public companies or private individuals in accordance with Article 117, second paragraph, of the Law, the Secretary or the Commission must use the elements related to the fixed costs and profitability of the winning proposal in a bidding process conducted in accordance with the criteria approved by said authority in the corresponding bidding conditions. The Secretary or the Commission must establish, through applicable legislation, the criteria and elements for the treatment of the variable cost component of said proposal.</w:t>
            </w:r>
          </w:p>
        </w:tc>
      </w:tr>
      <w:tr w:rsidR="009849AC" w:rsidRPr="002C0F16" w14:paraId="2CE50EBA" w14:textId="58C286B7" w:rsidTr="00F867DE">
        <w:tc>
          <w:tcPr>
            <w:tcW w:w="4711" w:type="dxa"/>
          </w:tcPr>
          <w:p w14:paraId="61CA672D"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La Secretaría o la Comisión pueden considerar elementos adicionales a los referidos en el presente artículo, previa justificación, así como emitir criterios de carácter general, que reflejen las condiciones de competencia en los mercados para ajustar la determinación de la tarifa regulada.</w:t>
            </w:r>
          </w:p>
        </w:tc>
        <w:tc>
          <w:tcPr>
            <w:tcW w:w="4649" w:type="dxa"/>
          </w:tcPr>
          <w:p w14:paraId="39B6FF7C" w14:textId="408446B3"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The Secretary or the Commission may consider additional elements to those referred to in this article, upon justification, and may issue general criteria that reflect the competitive conditions in the markets to adjust the determination of the regulated tariff.</w:t>
            </w:r>
          </w:p>
        </w:tc>
      </w:tr>
      <w:tr w:rsidR="009849AC" w:rsidRPr="00D0180E" w14:paraId="502A30B9" w14:textId="3C740C31" w:rsidTr="00F867DE">
        <w:tc>
          <w:tcPr>
            <w:tcW w:w="4711" w:type="dxa"/>
          </w:tcPr>
          <w:p w14:paraId="6A72C631" w14:textId="77777777" w:rsidR="009849AC" w:rsidRPr="00837D4A" w:rsidRDefault="009849AC" w:rsidP="009849AC">
            <w:pPr>
              <w:pStyle w:val="Texto"/>
              <w:spacing w:line="244" w:lineRule="exact"/>
              <w:ind w:firstLine="0"/>
              <w:jc w:val="center"/>
              <w:rPr>
                <w:rFonts w:ascii="Verdana" w:hAnsi="Verdana"/>
                <w:b/>
                <w:sz w:val="16"/>
                <w:szCs w:val="16"/>
              </w:rPr>
            </w:pPr>
            <w:r w:rsidRPr="00837D4A">
              <w:rPr>
                <w:rFonts w:ascii="Verdana" w:hAnsi="Verdana"/>
                <w:b/>
                <w:sz w:val="16"/>
                <w:szCs w:val="16"/>
              </w:rPr>
              <w:t>Sección Séptima</w:t>
            </w:r>
          </w:p>
        </w:tc>
        <w:tc>
          <w:tcPr>
            <w:tcW w:w="4649" w:type="dxa"/>
          </w:tcPr>
          <w:p w14:paraId="4B048CF7" w14:textId="79283E9C" w:rsidR="009849AC" w:rsidRPr="00837D4A" w:rsidRDefault="009849AC" w:rsidP="009849AC">
            <w:pPr>
              <w:pStyle w:val="Texto"/>
              <w:spacing w:line="244" w:lineRule="exact"/>
              <w:ind w:firstLine="0"/>
              <w:jc w:val="center"/>
              <w:rPr>
                <w:rFonts w:ascii="Verdana" w:hAnsi="Verdana"/>
                <w:b/>
                <w:sz w:val="16"/>
                <w:szCs w:val="16"/>
                <w:lang w:val="en-US"/>
              </w:rPr>
            </w:pPr>
            <w:r w:rsidRPr="00837D4A">
              <w:rPr>
                <w:rFonts w:ascii="Verdana" w:hAnsi="Verdana"/>
                <w:b/>
                <w:sz w:val="16"/>
                <w:szCs w:val="16"/>
                <w:lang w:val="en-US"/>
              </w:rPr>
              <w:t>Seventh Section</w:t>
            </w:r>
          </w:p>
        </w:tc>
      </w:tr>
      <w:tr w:rsidR="009849AC" w:rsidRPr="002C0F16" w14:paraId="6655C7B5" w14:textId="08A0BF6B" w:rsidTr="00F867DE">
        <w:tc>
          <w:tcPr>
            <w:tcW w:w="4711" w:type="dxa"/>
          </w:tcPr>
          <w:p w14:paraId="7D9C0AC3" w14:textId="77777777" w:rsidR="009849AC" w:rsidRPr="00837D4A" w:rsidRDefault="009849AC" w:rsidP="009849AC">
            <w:pPr>
              <w:pStyle w:val="Texto"/>
              <w:spacing w:line="244" w:lineRule="exact"/>
              <w:ind w:firstLine="0"/>
              <w:jc w:val="center"/>
              <w:rPr>
                <w:rFonts w:ascii="Verdana" w:hAnsi="Verdana"/>
                <w:b/>
                <w:sz w:val="16"/>
                <w:szCs w:val="16"/>
              </w:rPr>
            </w:pPr>
            <w:r w:rsidRPr="00837D4A">
              <w:rPr>
                <w:rFonts w:ascii="Verdana" w:hAnsi="Verdana"/>
                <w:b/>
                <w:sz w:val="16"/>
                <w:szCs w:val="16"/>
              </w:rPr>
              <w:t>De la Opinión de la Secretaría o la Comisión sobre las Licitaciones de las Empresas Públicas del Estado</w:t>
            </w:r>
          </w:p>
        </w:tc>
        <w:tc>
          <w:tcPr>
            <w:tcW w:w="4649" w:type="dxa"/>
          </w:tcPr>
          <w:p w14:paraId="19DC1DA0" w14:textId="0F180766" w:rsidR="009849AC" w:rsidRPr="00837D4A" w:rsidRDefault="009849AC" w:rsidP="009849AC">
            <w:pPr>
              <w:pStyle w:val="Texto"/>
              <w:spacing w:line="244" w:lineRule="exact"/>
              <w:ind w:firstLine="0"/>
              <w:jc w:val="center"/>
              <w:rPr>
                <w:rFonts w:ascii="Verdana" w:hAnsi="Verdana"/>
                <w:b/>
                <w:sz w:val="16"/>
                <w:szCs w:val="16"/>
                <w:lang w:val="en-US"/>
              </w:rPr>
            </w:pPr>
            <w:r w:rsidRPr="00837D4A">
              <w:rPr>
                <w:rFonts w:ascii="Verdana" w:hAnsi="Verdana"/>
                <w:b/>
                <w:sz w:val="16"/>
                <w:szCs w:val="16"/>
                <w:lang w:val="en-US"/>
              </w:rPr>
              <w:t>Opinion of the Secretary or the Commission on Bids for State-Owned Enterprises</w:t>
            </w:r>
          </w:p>
        </w:tc>
      </w:tr>
      <w:tr w:rsidR="009849AC" w:rsidRPr="002C0F16" w14:paraId="1335CF98" w14:textId="2C694DFB" w:rsidTr="00F867DE">
        <w:tc>
          <w:tcPr>
            <w:tcW w:w="4711" w:type="dxa"/>
          </w:tcPr>
          <w:p w14:paraId="03DB681D"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 xml:space="preserve">Artículo 193. </w:t>
            </w:r>
            <w:r w:rsidRPr="00837D4A">
              <w:rPr>
                <w:rFonts w:ascii="Verdana" w:hAnsi="Verdana"/>
                <w:sz w:val="16"/>
                <w:szCs w:val="16"/>
              </w:rPr>
              <w:t xml:space="preserve">Cuando el desarrollo de proyectos previstos en la planificación de la expansión del Transporte y la Distribución de Gas Natural y Gas Licuado de Petróleo, a que se refiere el artículo 116, fracción II de la Ley, así como los de cobertura social y desarrollo de la industria nacional a que se refiere el artículo 158 de la Ley, se realicen mediante un proceso de licitación o concurso y requieran permiso de la Secretaría o la Comisión según corresponda, estas deben emitir opinión favorable respecto de las bases de </w:t>
            </w:r>
            <w:r w:rsidRPr="00837D4A">
              <w:rPr>
                <w:rFonts w:ascii="Verdana" w:hAnsi="Verdana"/>
                <w:sz w:val="16"/>
                <w:szCs w:val="16"/>
              </w:rPr>
              <w:lastRenderedPageBreak/>
              <w:t>dicha licitación o concurso, así como del impacto económico del proyecto.</w:t>
            </w:r>
          </w:p>
        </w:tc>
        <w:tc>
          <w:tcPr>
            <w:tcW w:w="4649" w:type="dxa"/>
          </w:tcPr>
          <w:p w14:paraId="5EE15B44" w14:textId="7D17678A"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193. </w:t>
            </w:r>
            <w:r w:rsidRPr="00837D4A">
              <w:rPr>
                <w:rFonts w:ascii="Verdana" w:hAnsi="Verdana"/>
                <w:sz w:val="16"/>
                <w:szCs w:val="16"/>
                <w:lang w:val="en-US"/>
              </w:rPr>
              <w:t xml:space="preserve">When the development of projects provided for in the planning of the expansion of the transportation and distribution of natural gas and liquefied petroleum gas, referred to in article 116, section II of the Law, as well as those of social coverage and development of the national industry referred to in article 158 of the Law, are carried out through a bidding or competition process and require permission from the Secretary or the Commission as appropriate, they must issue a favorable opinion regarding the criteria of said </w:t>
            </w:r>
            <w:r w:rsidRPr="00837D4A">
              <w:rPr>
                <w:rFonts w:ascii="Verdana" w:hAnsi="Verdana"/>
                <w:sz w:val="16"/>
                <w:szCs w:val="16"/>
                <w:lang w:val="en-US"/>
              </w:rPr>
              <w:lastRenderedPageBreak/>
              <w:t>bidding or competition, as well as the economic impact of the project.</w:t>
            </w:r>
          </w:p>
        </w:tc>
      </w:tr>
      <w:tr w:rsidR="009849AC" w:rsidRPr="002C0F16" w14:paraId="7BA0D2AD" w14:textId="06772BAE" w:rsidTr="00F867DE">
        <w:tc>
          <w:tcPr>
            <w:tcW w:w="4711" w:type="dxa"/>
          </w:tcPr>
          <w:p w14:paraId="1269B065"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lastRenderedPageBreak/>
              <w:t>La opinión que la Secretaría o la Comisión emitan en esta materia debe atender a principios que permitan el desarrollo eficiente y competitivo de los mercados, así como que la prestación de los servicios sea eficiente, uniforme, homogénea, regular, segura, continua y de calidad.</w:t>
            </w:r>
          </w:p>
        </w:tc>
        <w:tc>
          <w:tcPr>
            <w:tcW w:w="4649" w:type="dxa"/>
          </w:tcPr>
          <w:p w14:paraId="24D35BE0" w14:textId="65460BA1"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The opinion issued by the Secretary or the Commission on this matter must adhere to principles that allow for the efficient and competitive development of markets, as well as ensuring that the provision of services is efficient, uniform, homogeneous, regular, secure, continuous, and of high quality.</w:t>
            </w:r>
          </w:p>
        </w:tc>
      </w:tr>
      <w:tr w:rsidR="009849AC" w:rsidRPr="00D0180E" w14:paraId="3A61F774" w14:textId="5B78538D" w:rsidTr="00F867DE">
        <w:tc>
          <w:tcPr>
            <w:tcW w:w="4711" w:type="dxa"/>
          </w:tcPr>
          <w:p w14:paraId="63BF3BB2" w14:textId="77777777" w:rsidR="009849AC" w:rsidRPr="00837D4A" w:rsidRDefault="009849AC" w:rsidP="009849AC">
            <w:pPr>
              <w:pStyle w:val="Texto"/>
              <w:spacing w:line="244" w:lineRule="exact"/>
              <w:ind w:firstLine="0"/>
              <w:jc w:val="center"/>
              <w:rPr>
                <w:rFonts w:ascii="Verdana" w:hAnsi="Verdana"/>
                <w:b/>
                <w:sz w:val="16"/>
                <w:szCs w:val="16"/>
              </w:rPr>
            </w:pPr>
            <w:r w:rsidRPr="00837D4A">
              <w:rPr>
                <w:rFonts w:ascii="Verdana" w:hAnsi="Verdana"/>
                <w:b/>
                <w:sz w:val="16"/>
                <w:szCs w:val="16"/>
              </w:rPr>
              <w:t>Sección Octava</w:t>
            </w:r>
          </w:p>
        </w:tc>
        <w:tc>
          <w:tcPr>
            <w:tcW w:w="4649" w:type="dxa"/>
          </w:tcPr>
          <w:p w14:paraId="322A2463" w14:textId="75BCB507" w:rsidR="009849AC" w:rsidRPr="00837D4A" w:rsidRDefault="009849AC" w:rsidP="009849AC">
            <w:pPr>
              <w:pStyle w:val="Texto"/>
              <w:spacing w:line="244" w:lineRule="exact"/>
              <w:ind w:firstLine="0"/>
              <w:jc w:val="center"/>
              <w:rPr>
                <w:rFonts w:ascii="Verdana" w:hAnsi="Verdana"/>
                <w:b/>
                <w:sz w:val="16"/>
                <w:szCs w:val="16"/>
                <w:lang w:val="en-US"/>
              </w:rPr>
            </w:pPr>
            <w:r w:rsidRPr="00837D4A">
              <w:rPr>
                <w:rFonts w:ascii="Verdana" w:hAnsi="Verdana"/>
                <w:b/>
                <w:sz w:val="16"/>
                <w:szCs w:val="16"/>
                <w:lang w:val="en-US"/>
              </w:rPr>
              <w:t>Eighth Section</w:t>
            </w:r>
          </w:p>
        </w:tc>
      </w:tr>
      <w:tr w:rsidR="009849AC" w:rsidRPr="00D0180E" w14:paraId="62644D50" w14:textId="15C2AD7A" w:rsidTr="00F867DE">
        <w:tc>
          <w:tcPr>
            <w:tcW w:w="4711" w:type="dxa"/>
          </w:tcPr>
          <w:p w14:paraId="5B5EE42C" w14:textId="77777777" w:rsidR="009849AC" w:rsidRPr="00837D4A" w:rsidRDefault="009849AC" w:rsidP="009849AC">
            <w:pPr>
              <w:pStyle w:val="Texto"/>
              <w:spacing w:line="244" w:lineRule="exact"/>
              <w:ind w:firstLine="0"/>
              <w:jc w:val="center"/>
              <w:rPr>
                <w:rFonts w:ascii="Verdana" w:hAnsi="Verdana"/>
                <w:b/>
                <w:sz w:val="16"/>
                <w:szCs w:val="16"/>
              </w:rPr>
            </w:pPr>
            <w:r w:rsidRPr="00837D4A">
              <w:rPr>
                <w:rFonts w:ascii="Verdana" w:hAnsi="Verdana"/>
                <w:b/>
                <w:sz w:val="16"/>
                <w:szCs w:val="16"/>
              </w:rPr>
              <w:t>De la Participación Cruzada</w:t>
            </w:r>
          </w:p>
        </w:tc>
        <w:tc>
          <w:tcPr>
            <w:tcW w:w="4649" w:type="dxa"/>
          </w:tcPr>
          <w:p w14:paraId="6885EE0B" w14:textId="543323EF" w:rsidR="009849AC" w:rsidRPr="00837D4A" w:rsidRDefault="009849AC" w:rsidP="009849AC">
            <w:pPr>
              <w:pStyle w:val="Texto"/>
              <w:spacing w:line="244" w:lineRule="exact"/>
              <w:ind w:firstLine="0"/>
              <w:jc w:val="center"/>
              <w:rPr>
                <w:rFonts w:ascii="Verdana" w:hAnsi="Verdana"/>
                <w:b/>
                <w:sz w:val="16"/>
                <w:szCs w:val="16"/>
                <w:lang w:val="en-US"/>
              </w:rPr>
            </w:pPr>
            <w:r w:rsidRPr="00837D4A">
              <w:rPr>
                <w:rFonts w:ascii="Verdana" w:hAnsi="Verdana"/>
                <w:b/>
                <w:sz w:val="16"/>
                <w:szCs w:val="16"/>
                <w:lang w:val="en-US"/>
              </w:rPr>
              <w:t>Cross-Participation</w:t>
            </w:r>
          </w:p>
        </w:tc>
      </w:tr>
      <w:tr w:rsidR="009849AC" w:rsidRPr="002C0F16" w14:paraId="690A839B" w14:textId="750A1C32" w:rsidTr="00F867DE">
        <w:tc>
          <w:tcPr>
            <w:tcW w:w="4711" w:type="dxa"/>
          </w:tcPr>
          <w:p w14:paraId="3CF6F464"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194.</w:t>
            </w:r>
            <w:r w:rsidRPr="00837D4A">
              <w:rPr>
                <w:rFonts w:ascii="Verdana" w:hAnsi="Verdana"/>
                <w:sz w:val="16"/>
                <w:szCs w:val="16"/>
              </w:rPr>
              <w:t xml:space="preserve"> Para operar en condiciones de participación cruzada, las personas Permisionarias deben solicitar la autorización de la Secretaría en términos de la Normatividad aplicable.</w:t>
            </w:r>
          </w:p>
        </w:tc>
        <w:tc>
          <w:tcPr>
            <w:tcW w:w="4649" w:type="dxa"/>
          </w:tcPr>
          <w:p w14:paraId="1FE8A234" w14:textId="32CDAB9F"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194. </w:t>
            </w:r>
            <w:r w:rsidRPr="00837D4A">
              <w:rPr>
                <w:rFonts w:ascii="Verdana" w:hAnsi="Verdana"/>
                <w:sz w:val="16"/>
                <w:szCs w:val="16"/>
                <w:lang w:val="en-US"/>
              </w:rPr>
              <w:t>To operate under cross-participation conditions, permit holders must request authorization from the Secretary in accordance with the applicable legislation.</w:t>
            </w:r>
          </w:p>
        </w:tc>
      </w:tr>
      <w:tr w:rsidR="009849AC" w:rsidRPr="002C0F16" w14:paraId="4EFD55DC" w14:textId="3AA35811" w:rsidTr="00F867DE">
        <w:tc>
          <w:tcPr>
            <w:tcW w:w="4711" w:type="dxa"/>
          </w:tcPr>
          <w:p w14:paraId="5367C4FF"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195.</w:t>
            </w:r>
            <w:r w:rsidRPr="00837D4A">
              <w:rPr>
                <w:rFonts w:ascii="Verdana" w:hAnsi="Verdana"/>
                <w:sz w:val="16"/>
                <w:szCs w:val="16"/>
              </w:rPr>
              <w:t xml:space="preserve"> La Secretaría debe resolver sobre la solicitud de autorización o modificación de participación cruzada, a la que se refiere el artículo 118 de la Ley, previa solicitud del análisis y propuesta de resolución que realice la Comisión y tomando en cuenta la planeación vinculante.</w:t>
            </w:r>
          </w:p>
        </w:tc>
        <w:tc>
          <w:tcPr>
            <w:tcW w:w="4649" w:type="dxa"/>
          </w:tcPr>
          <w:p w14:paraId="27766057" w14:textId="16E4A6DA"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195. </w:t>
            </w:r>
            <w:r w:rsidRPr="00837D4A">
              <w:rPr>
                <w:rFonts w:ascii="Verdana" w:hAnsi="Verdana"/>
                <w:sz w:val="16"/>
                <w:szCs w:val="16"/>
                <w:lang w:val="en-US"/>
              </w:rPr>
              <w:t>The Secretary must resolve the request for authorization or modification of cross-shareholding, referred to in Article 118 of the Law, upon request for analysis and proposed resolution by the Commission and taking into account the binding planning.</w:t>
            </w:r>
          </w:p>
        </w:tc>
      </w:tr>
      <w:tr w:rsidR="009849AC" w:rsidRPr="002C0F16" w14:paraId="3F13594C" w14:textId="035AAD1F" w:rsidTr="00F867DE">
        <w:tc>
          <w:tcPr>
            <w:tcW w:w="4711" w:type="dxa"/>
          </w:tcPr>
          <w:p w14:paraId="67D3AFFD"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 xml:space="preserve">Artículo 196. </w:t>
            </w:r>
            <w:r w:rsidRPr="00837D4A">
              <w:rPr>
                <w:rFonts w:ascii="Verdana" w:hAnsi="Verdana"/>
                <w:sz w:val="16"/>
                <w:szCs w:val="16"/>
              </w:rPr>
              <w:t>La Secretaría cuenta con la facultad de autorizar o negar la participación cruzada previa opinión de la autoridad competente en materia de competencia económica, la cual no resulta vinculante.</w:t>
            </w:r>
          </w:p>
        </w:tc>
        <w:tc>
          <w:tcPr>
            <w:tcW w:w="4649" w:type="dxa"/>
          </w:tcPr>
          <w:p w14:paraId="48B024A0" w14:textId="3EC3395F"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196. </w:t>
            </w:r>
            <w:r w:rsidRPr="00837D4A">
              <w:rPr>
                <w:rFonts w:ascii="Verdana" w:hAnsi="Verdana"/>
                <w:sz w:val="16"/>
                <w:szCs w:val="16"/>
                <w:lang w:val="en-US"/>
              </w:rPr>
              <w:t>The Secretary has the power to authorize or deny cross-participation upon obtaining an opinion from the appropriate authority in matters of economic competition, which is not binding.</w:t>
            </w:r>
          </w:p>
        </w:tc>
      </w:tr>
      <w:tr w:rsidR="009849AC" w:rsidRPr="002C0F16" w14:paraId="41A979E8" w14:textId="2879E7F7" w:rsidTr="00F867DE">
        <w:tc>
          <w:tcPr>
            <w:tcW w:w="4711" w:type="dxa"/>
          </w:tcPr>
          <w:p w14:paraId="64559106"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197.</w:t>
            </w:r>
            <w:r w:rsidRPr="00837D4A">
              <w:rPr>
                <w:rFonts w:ascii="Verdana" w:hAnsi="Verdana"/>
                <w:sz w:val="16"/>
                <w:szCs w:val="16"/>
              </w:rPr>
              <w:t xml:space="preserve"> La Secretaría tiene la facultad de desechar las solicitudes de autorización de participación cruzada y, en su caso, imponer multas e iniciar procedimiento de revocación de permisos a aquellas personas Permisionarias que desarrollen actividades de participación cruzada sin la autorización respectiva.</w:t>
            </w:r>
          </w:p>
        </w:tc>
        <w:tc>
          <w:tcPr>
            <w:tcW w:w="4649" w:type="dxa"/>
          </w:tcPr>
          <w:p w14:paraId="67C4C066" w14:textId="09A8AD45"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197. </w:t>
            </w:r>
            <w:r w:rsidRPr="00837D4A">
              <w:rPr>
                <w:rFonts w:ascii="Verdana" w:hAnsi="Verdana"/>
                <w:sz w:val="16"/>
                <w:szCs w:val="16"/>
                <w:lang w:val="en-US"/>
              </w:rPr>
              <w:t>The Secretary has the power to reject applications for cross-participation authorization and, where appropriate, impose fines and initiate permit revocation proceedings against those permit holders who carry out cross-participation activities without the respective authorization.</w:t>
            </w:r>
          </w:p>
        </w:tc>
      </w:tr>
      <w:tr w:rsidR="009849AC" w:rsidRPr="002C0F16" w14:paraId="0061FBFF" w14:textId="021608D0" w:rsidTr="00F867DE">
        <w:tc>
          <w:tcPr>
            <w:tcW w:w="4711" w:type="dxa"/>
          </w:tcPr>
          <w:p w14:paraId="1DB6943F"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 xml:space="preserve">Artículo 198. </w:t>
            </w:r>
            <w:r w:rsidRPr="00837D4A">
              <w:rPr>
                <w:rFonts w:ascii="Verdana" w:hAnsi="Verdana"/>
                <w:sz w:val="16"/>
                <w:szCs w:val="16"/>
              </w:rPr>
              <w:t>Ante el incumplimiento en la obtención de la autorización de participación cruzada por parte de la persona Permisionaria o por realizar operaciones en condiciones de participación cruzada sin una autorización, la Secretaría y la Comisión deben llevar a cabo los procedimientos administrativos correspondientes, en el ámbito de sus competencias.</w:t>
            </w:r>
          </w:p>
        </w:tc>
        <w:tc>
          <w:tcPr>
            <w:tcW w:w="4649" w:type="dxa"/>
          </w:tcPr>
          <w:p w14:paraId="225CBB6D" w14:textId="0CA6CE5F"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198. </w:t>
            </w:r>
            <w:r w:rsidRPr="00837D4A">
              <w:rPr>
                <w:rFonts w:ascii="Verdana" w:hAnsi="Verdana"/>
                <w:sz w:val="16"/>
                <w:szCs w:val="16"/>
                <w:lang w:val="en-US"/>
              </w:rPr>
              <w:t>In the event of failure by the permit holder to obtain cross-participation authorization or to carry out operations under cross-participation conditions without authorization, the Secretary and the Commission must carry out the corresponding administrative procedures within the scope of their powers.</w:t>
            </w:r>
          </w:p>
        </w:tc>
      </w:tr>
      <w:tr w:rsidR="009849AC" w:rsidRPr="00D0180E" w14:paraId="75B4063F" w14:textId="5A8F105A" w:rsidTr="00F867DE">
        <w:tc>
          <w:tcPr>
            <w:tcW w:w="4711" w:type="dxa"/>
          </w:tcPr>
          <w:p w14:paraId="4A0D2793"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Capítulo X</w:t>
            </w:r>
          </w:p>
        </w:tc>
        <w:tc>
          <w:tcPr>
            <w:tcW w:w="4649" w:type="dxa"/>
          </w:tcPr>
          <w:p w14:paraId="3D732FAD" w14:textId="0961F5BA"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X</w:t>
            </w:r>
          </w:p>
        </w:tc>
      </w:tr>
      <w:tr w:rsidR="009849AC" w:rsidRPr="002C0F16" w14:paraId="11A4BF9F" w14:textId="06F8D7AB" w:rsidTr="00F867DE">
        <w:tc>
          <w:tcPr>
            <w:tcW w:w="4711" w:type="dxa"/>
          </w:tcPr>
          <w:p w14:paraId="166090EE" w14:textId="77777777" w:rsidR="009849AC" w:rsidRPr="00837D4A" w:rsidRDefault="009849AC" w:rsidP="009849AC">
            <w:pPr>
              <w:pStyle w:val="Texto"/>
              <w:spacing w:line="220" w:lineRule="exact"/>
              <w:ind w:firstLine="0"/>
              <w:jc w:val="center"/>
              <w:rPr>
                <w:rFonts w:ascii="Verdana" w:hAnsi="Verdana"/>
                <w:sz w:val="16"/>
                <w:szCs w:val="16"/>
              </w:rPr>
            </w:pPr>
            <w:r w:rsidRPr="00837D4A">
              <w:rPr>
                <w:rFonts w:ascii="Verdana" w:hAnsi="Verdana"/>
                <w:b/>
                <w:sz w:val="16"/>
                <w:szCs w:val="16"/>
              </w:rPr>
              <w:t>De la Supervisión y Vigilancia en materia de Trazabilidad, Medición y Calidad de los Hidrocarburos, Petrolíferos y Petroquímicos</w:t>
            </w:r>
          </w:p>
        </w:tc>
        <w:tc>
          <w:tcPr>
            <w:tcW w:w="4649" w:type="dxa"/>
          </w:tcPr>
          <w:p w14:paraId="13766A1B" w14:textId="25F236DD"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Supervision and Oversight in the Area of Traceability, Measurement and Quality of Hydrocarbons, Petroleum Products and Petrochemicals</w:t>
            </w:r>
          </w:p>
        </w:tc>
      </w:tr>
      <w:tr w:rsidR="009849AC" w:rsidRPr="002C0F16" w14:paraId="6384EC82" w14:textId="40D13D04" w:rsidTr="00F867DE">
        <w:tc>
          <w:tcPr>
            <w:tcW w:w="4711" w:type="dxa"/>
          </w:tcPr>
          <w:p w14:paraId="7858035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199. </w:t>
            </w:r>
            <w:r w:rsidRPr="00837D4A">
              <w:rPr>
                <w:rFonts w:ascii="Verdana" w:hAnsi="Verdana"/>
                <w:sz w:val="16"/>
                <w:szCs w:val="16"/>
              </w:rPr>
              <w:t xml:space="preserve">La Secretaría o la Comisión como parte de sus atribuciones de supervisión establecidas en los artículos 115, fracción I y 116, fracción I de la Ley, respectivamente, en relación con el artículo 33, fracción XXI de la Ley Orgánica de la Administración Pública Federal, pueden requerir de las personas Permisionarias, información, documentación y opiniones </w:t>
            </w:r>
            <w:r w:rsidRPr="00837D4A">
              <w:rPr>
                <w:rFonts w:ascii="Verdana" w:hAnsi="Verdana"/>
                <w:sz w:val="16"/>
                <w:szCs w:val="16"/>
              </w:rPr>
              <w:lastRenderedPageBreak/>
              <w:t>en general a las entidades de la administración pública de los tres órdenes de gobierno relacionadas con controles volumétricos, medición, cantidad y calidad de los Hidrocarburos, Petrolíferos y Petroquímicos objeto de los permisos que se hayan otorgado, así como de las operaciones comerciales que realicen con clientes y proveedores, a efecto de supervisar y determinar la Trazabilidad.</w:t>
            </w:r>
          </w:p>
        </w:tc>
        <w:tc>
          <w:tcPr>
            <w:tcW w:w="4649" w:type="dxa"/>
          </w:tcPr>
          <w:p w14:paraId="361E8690" w14:textId="2C73BA5E"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199. </w:t>
            </w:r>
            <w:r w:rsidRPr="00837D4A">
              <w:rPr>
                <w:rFonts w:ascii="Verdana" w:hAnsi="Verdana"/>
                <w:sz w:val="16"/>
                <w:szCs w:val="16"/>
                <w:lang w:val="en-US"/>
              </w:rPr>
              <w:t xml:space="preserve">The Secretary or the Commission, as part of its supervisory powers established in articles 115, section I and 116, section I of the Law, respectively, in relation to article 33, section XXI of the Organic Law of the Federal Public Administration, may require from the Permit Holders, information, documentation and opinions in general to the entities of the public </w:t>
            </w:r>
            <w:r w:rsidRPr="00837D4A">
              <w:rPr>
                <w:rFonts w:ascii="Verdana" w:hAnsi="Verdana"/>
                <w:sz w:val="16"/>
                <w:szCs w:val="16"/>
                <w:lang w:val="en-US"/>
              </w:rPr>
              <w:lastRenderedPageBreak/>
              <w:t>administration of the three levels of government related to volumetric controls, measurement, quantity and quality of Hydrocarbons, Petroleum Products and Petrochemicals that are the object of the permits that have been granted, as well as the commercial operations that they carry out with clients and suppliers, in order to supervise and determine Traceability.</w:t>
            </w:r>
          </w:p>
        </w:tc>
      </w:tr>
      <w:tr w:rsidR="009849AC" w:rsidRPr="002C0F16" w14:paraId="1C0B4A97" w14:textId="4C1D206C" w:rsidTr="00F867DE">
        <w:tc>
          <w:tcPr>
            <w:tcW w:w="4711" w:type="dxa"/>
          </w:tcPr>
          <w:p w14:paraId="7D72113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lastRenderedPageBreak/>
              <w:t>Los institutos sectorizados, de acuerdo con sus capacidades, deben contribuir en lo dispuesto en este artículo.</w:t>
            </w:r>
          </w:p>
        </w:tc>
        <w:tc>
          <w:tcPr>
            <w:tcW w:w="4649" w:type="dxa"/>
          </w:tcPr>
          <w:p w14:paraId="1471AE79" w14:textId="2C2F6766"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sectorized institutes, in accordance with their capabilities, must contribute to the provisions of this article.</w:t>
            </w:r>
          </w:p>
        </w:tc>
      </w:tr>
      <w:tr w:rsidR="009849AC" w:rsidRPr="002C0F16" w14:paraId="4A587956" w14:textId="683F0643" w:rsidTr="00F867DE">
        <w:tc>
          <w:tcPr>
            <w:tcW w:w="4711" w:type="dxa"/>
          </w:tcPr>
          <w:p w14:paraId="78395400" w14:textId="77777777" w:rsidR="009849AC" w:rsidRPr="00837D4A" w:rsidRDefault="009849AC" w:rsidP="009849AC">
            <w:pPr>
              <w:pStyle w:val="Texto"/>
              <w:spacing w:line="220" w:lineRule="exact"/>
              <w:ind w:firstLine="0"/>
              <w:rPr>
                <w:rFonts w:ascii="Verdana" w:hAnsi="Verdana"/>
                <w:sz w:val="16"/>
                <w:szCs w:val="16"/>
                <w:lang w:val="es"/>
              </w:rPr>
            </w:pPr>
            <w:r w:rsidRPr="00837D4A">
              <w:rPr>
                <w:rFonts w:ascii="Verdana" w:hAnsi="Verdana"/>
                <w:sz w:val="16"/>
                <w:szCs w:val="16"/>
              </w:rPr>
              <w:t xml:space="preserve">La Secretaría o la Comisión en el ámbito de sus atribuciones pueden emitir la </w:t>
            </w:r>
            <w:r w:rsidRPr="00837D4A">
              <w:rPr>
                <w:rFonts w:ascii="Verdana" w:hAnsi="Verdana"/>
                <w:sz w:val="16"/>
                <w:szCs w:val="16"/>
                <w:lang w:val="es"/>
              </w:rPr>
              <w:t xml:space="preserve">Normatividad para el uso de herramientas digitales, tecnológicas, aplicaciones electrónicas u otros, que las personas Permisionarias deben utilizar para reportar </w:t>
            </w:r>
            <w:r w:rsidRPr="00837D4A">
              <w:rPr>
                <w:rFonts w:ascii="Verdana" w:hAnsi="Verdana"/>
                <w:sz w:val="16"/>
                <w:szCs w:val="16"/>
              </w:rPr>
              <w:t>información, cargar documentación o permitir el acceso a bases de datos, ubicación o cualquier otra información, para supervisar y determinar la Trazabilidad de los Hidrocarburos, Petrolíferos y Petroquímicos.</w:t>
            </w:r>
          </w:p>
        </w:tc>
        <w:tc>
          <w:tcPr>
            <w:tcW w:w="4649" w:type="dxa"/>
          </w:tcPr>
          <w:p w14:paraId="54E01BEB" w14:textId="2B09673B"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Secretary or the Commission, within the scope of its powers, may issue legislation for the use of digital, technological, electronic applications, or other tools that permit holders must use to report information, upload documentation, or allow access to databases, location, or any other information, to supervise and determine the traceability of hydrocarbons, petroleum products, and petrochemicals.</w:t>
            </w:r>
          </w:p>
        </w:tc>
      </w:tr>
      <w:tr w:rsidR="009849AC" w:rsidRPr="002C0F16" w14:paraId="3FDE834C" w14:textId="349BEF92" w:rsidTr="00F867DE">
        <w:tc>
          <w:tcPr>
            <w:tcW w:w="4711" w:type="dxa"/>
          </w:tcPr>
          <w:p w14:paraId="3F33C377"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Secretaría y la Comisión, en el ámbito de sus competencias, pueden suscribir acuerdos, convenios o cualquier otro instrumento para coordinar el intercambio de información con otras autoridades e instituciones federales, locales, municipales, demarcaciones territoriales de la Ciudad de México, incluidas las de seguridad pública. De igual forma pueden requerir información a personas Asignatarias, Permisionarias, Contratistas o Autorizadas, y en general a cualquier persona que tenga conocimiento de la probable realización de actividades con Hidrocarburos, Petrolíferos y Petroquímicos de procedencia ilícita.</w:t>
            </w:r>
          </w:p>
        </w:tc>
        <w:tc>
          <w:tcPr>
            <w:tcW w:w="4649" w:type="dxa"/>
          </w:tcPr>
          <w:p w14:paraId="5D428EC7" w14:textId="7139AA84"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Secretary and the Commission, within their jurisdictions, may enter into agreements, conventions, or any other instrument to coordinate the exchange of information with other federal, local, and municipal authorities and institutions, as well as territorial divisions of Mexico City, including those responsible for public security. They may also request information from assignees, permit holders, contractors, or authorized parties, and in general from any person who has knowledge of the probable implementation of activities involving hydrocarbons, petroleum products, and petrochemicals of illicit origin.</w:t>
            </w:r>
          </w:p>
        </w:tc>
      </w:tr>
      <w:tr w:rsidR="009849AC" w:rsidRPr="002C0F16" w14:paraId="35C7CD0E" w14:textId="5D6C40DB" w:rsidTr="00F867DE">
        <w:tc>
          <w:tcPr>
            <w:tcW w:w="4711" w:type="dxa"/>
          </w:tcPr>
          <w:p w14:paraId="565FD6FF"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200.</w:t>
            </w:r>
            <w:r w:rsidRPr="00837D4A">
              <w:rPr>
                <w:rFonts w:ascii="Verdana" w:hAnsi="Verdana"/>
                <w:sz w:val="16"/>
                <w:szCs w:val="16"/>
              </w:rPr>
              <w:t xml:space="preserve"> A efecto de coadyuvar en la determinación de la Trazabilidad de los Hidrocarburos, Petrolíferos y Petroquímicos, las personas Permisionarias, además de las obligaciones previstas en el artículo 119 de la Ley, las establecidas en la Normatividad aplicable, así como las que deriven de los títulos de permiso, tienen las siguientes obligaciones:</w:t>
            </w:r>
          </w:p>
        </w:tc>
        <w:tc>
          <w:tcPr>
            <w:tcW w:w="4649" w:type="dxa"/>
          </w:tcPr>
          <w:p w14:paraId="1D010639" w14:textId="1A4E2F1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200. </w:t>
            </w:r>
            <w:r w:rsidRPr="00837D4A">
              <w:rPr>
                <w:rFonts w:ascii="Verdana" w:hAnsi="Verdana"/>
                <w:sz w:val="16"/>
                <w:szCs w:val="16"/>
                <w:lang w:val="en-US"/>
              </w:rPr>
              <w:t>In order to assist in determining the traceability of hydrocarbons, petroleum products and petrochemicals, permit holders, in addition to the obligations provided for in Article 119 of the Law, those established in the applicable legislation, as well as those derived from the permit titles, have the following obligations:</w:t>
            </w:r>
          </w:p>
        </w:tc>
      </w:tr>
      <w:tr w:rsidR="009849AC" w:rsidRPr="002C0F16" w14:paraId="52F1E0BD" w14:textId="4B588B6D" w:rsidTr="00F867DE">
        <w:tc>
          <w:tcPr>
            <w:tcW w:w="4711" w:type="dxa"/>
          </w:tcPr>
          <w:p w14:paraId="4D125273"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Establecer medidas y procedimientos de control para prevenir y detectar actos, omisiones u operaciones que pueden constituir los delitos en materia de Hidrocarburos, Petrolíferos y Petroquímicos previstos en el Título Segundo de la Ley Federal para Prevenir y Sancionar los Delitos Cometidos en materia de Hidrocarburos;</w:t>
            </w:r>
          </w:p>
        </w:tc>
        <w:tc>
          <w:tcPr>
            <w:tcW w:w="4649" w:type="dxa"/>
          </w:tcPr>
          <w:p w14:paraId="1EE9C2D2" w14:textId="3DF2CE2C"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Establish control measures and procedures to prevent and detect acts, omissions or operations that may constitute crimes in the field of hydrocarbons, petroleum products and petrochemicals provided for in Second Title of the Federal Law to Prevent and Punish Crimes Committed in the field of Hydrocarbons;</w:t>
            </w:r>
          </w:p>
        </w:tc>
      </w:tr>
      <w:tr w:rsidR="009849AC" w:rsidRPr="002C0F16" w14:paraId="6AD6FA49" w14:textId="08E3AD30" w:rsidTr="00F867DE">
        <w:tc>
          <w:tcPr>
            <w:tcW w:w="4711" w:type="dxa"/>
          </w:tcPr>
          <w:p w14:paraId="2447A022"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Implementar los controles necesarios para verificar que las personas Usuarias con quienes realicen operaciones comerciales o la contratación de los servicios inherentes a las actividades permisionadas cuenten con un permiso vigente;</w:t>
            </w:r>
          </w:p>
        </w:tc>
        <w:tc>
          <w:tcPr>
            <w:tcW w:w="4649" w:type="dxa"/>
          </w:tcPr>
          <w:p w14:paraId="2177B513" w14:textId="6DA908D7"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Implement the necessary controls to verify that Users with whom they carry out commercial operations or contract services inherent to the permitted activities have a valid permit;</w:t>
            </w:r>
          </w:p>
        </w:tc>
      </w:tr>
      <w:tr w:rsidR="009849AC" w:rsidRPr="002C0F16" w14:paraId="1EF10F4D" w14:textId="086A5AF2" w:rsidTr="00F867DE">
        <w:tc>
          <w:tcPr>
            <w:tcW w:w="4711" w:type="dxa"/>
          </w:tcPr>
          <w:p w14:paraId="544CBCBA"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 xml:space="preserve">Abstenerse de entablar relaciones comerciales o prestar servicios inherentes a las actividades permisionadas de que se trate, cuando sus clientes o personas Usuarias se nieguen a proporcionarles la </w:t>
            </w:r>
            <w:r w:rsidRPr="00837D4A">
              <w:rPr>
                <w:rFonts w:ascii="Verdana" w:hAnsi="Verdana"/>
                <w:sz w:val="16"/>
                <w:szCs w:val="16"/>
              </w:rPr>
              <w:lastRenderedPageBreak/>
              <w:t>referida información o documentación en la fracción anterior;</w:t>
            </w:r>
          </w:p>
        </w:tc>
        <w:tc>
          <w:tcPr>
            <w:tcW w:w="4649" w:type="dxa"/>
          </w:tcPr>
          <w:p w14:paraId="732F9C80" w14:textId="1A764557"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lastRenderedPageBreak/>
              <w:t xml:space="preserve">III. </w:t>
            </w:r>
            <w:r w:rsidRPr="00837D4A">
              <w:rPr>
                <w:rFonts w:ascii="Verdana" w:hAnsi="Verdana"/>
                <w:b/>
                <w:sz w:val="16"/>
                <w:szCs w:val="16"/>
                <w:lang w:val="en-US"/>
              </w:rPr>
              <w:tab/>
            </w:r>
            <w:r w:rsidRPr="00837D4A">
              <w:rPr>
                <w:rFonts w:ascii="Verdana" w:hAnsi="Verdana"/>
                <w:sz w:val="16"/>
                <w:szCs w:val="16"/>
                <w:lang w:val="en-US"/>
              </w:rPr>
              <w:t xml:space="preserve">Refrain from entering into commercial relations or providing services inherent to the permitted activities in question, when their clients or Users refuse </w:t>
            </w:r>
            <w:r w:rsidRPr="00837D4A">
              <w:rPr>
                <w:rFonts w:ascii="Verdana" w:hAnsi="Verdana"/>
                <w:sz w:val="16"/>
                <w:szCs w:val="16"/>
                <w:lang w:val="en-US"/>
              </w:rPr>
              <w:lastRenderedPageBreak/>
              <w:t>to provide them with the information or documentation referred to in the preceding section;</w:t>
            </w:r>
          </w:p>
        </w:tc>
      </w:tr>
      <w:tr w:rsidR="009849AC" w:rsidRPr="002C0F16" w14:paraId="04B5EAE3" w14:textId="0493C93F" w:rsidTr="00F867DE">
        <w:tc>
          <w:tcPr>
            <w:tcW w:w="4711" w:type="dxa"/>
          </w:tcPr>
          <w:p w14:paraId="20E4CDBF"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lastRenderedPageBreak/>
              <w:t>IV.</w:t>
            </w:r>
            <w:r w:rsidRPr="00837D4A">
              <w:rPr>
                <w:rFonts w:ascii="Verdana" w:hAnsi="Verdana"/>
                <w:b/>
                <w:sz w:val="16"/>
                <w:szCs w:val="16"/>
              </w:rPr>
              <w:tab/>
            </w:r>
            <w:r w:rsidRPr="00837D4A">
              <w:rPr>
                <w:rFonts w:ascii="Verdana" w:hAnsi="Verdana"/>
                <w:sz w:val="16"/>
                <w:szCs w:val="16"/>
              </w:rPr>
              <w:t>Custodiar, proteger, resguardar y evitar la destrucción u ocultamiento de la información y documentación que le sea solicitada o que deban entregar con motivo de aquella que se genere para identificar a sus clientes y proveedores que sean personas Usuarias. En el caso de los permisos de importación y exportación se debe custodiar, proteger, resguardar y evitar la destrucción u ocultamiento de dicha información y documentación aún y cuando sus proveedores o clientes, según corresponda, no sean personas Usuarias, debido a que se ubican en el extranjero;</w:t>
            </w:r>
          </w:p>
        </w:tc>
        <w:tc>
          <w:tcPr>
            <w:tcW w:w="4649" w:type="dxa"/>
          </w:tcPr>
          <w:p w14:paraId="349C3B59" w14:textId="6DED269D"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Safeguard, protect, safeguard, and prevent the destruction or concealment of information and documentation requested or that must be provided in connection with the information and documentation generated to identify its clients and suppliers who are users. In the case of import and export permits, said information and documentation must be safeguarded, protected, and prevent the destruction or concealment of such information and documentation even when its suppliers or clients, as applicable, are not users because they are located abroad;</w:t>
            </w:r>
          </w:p>
        </w:tc>
      </w:tr>
      <w:tr w:rsidR="009849AC" w:rsidRPr="002C0F16" w14:paraId="00D60522" w14:textId="689D876B" w:rsidTr="00F867DE">
        <w:tc>
          <w:tcPr>
            <w:tcW w:w="4711" w:type="dxa"/>
          </w:tcPr>
          <w:p w14:paraId="5200B96A"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Presentar a través de la plataforma de información electrónica que establezca la Secretaría, y las demás que establezcan las autoridades competentes, la información relacionada con controles volumétricos, medición, cantidad y calidad de los Hidrocarburos, Petrolíferos y Petroquímicos, objeto de los permisos respectivos, conforme a lo establecido en la Ley, así como de las operaciones comerciales que realicen con personas Usuarias, y</w:t>
            </w:r>
          </w:p>
        </w:tc>
        <w:tc>
          <w:tcPr>
            <w:tcW w:w="4649" w:type="dxa"/>
          </w:tcPr>
          <w:p w14:paraId="7E60F5A6" w14:textId="0CBD266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Submit through the electronic information platform established by the Secretary, and others established by the appropriate authorities, the information related to volumetric controls, measurement, quantity and quality of hydrocarbons, petroleum products and petrochemicals, object of the respective permits, in accordance with the provisions of the Law, as well as the commercial operations carried out with Users, and</w:t>
            </w:r>
          </w:p>
        </w:tc>
      </w:tr>
      <w:tr w:rsidR="009849AC" w:rsidRPr="002C0F16" w14:paraId="7801F3E3" w14:textId="68BCE314" w:rsidTr="00F867DE">
        <w:tc>
          <w:tcPr>
            <w:tcW w:w="4711" w:type="dxa"/>
          </w:tcPr>
          <w:p w14:paraId="2D8F92DD"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Manifestar, bajo protesta de decir verdad, que la información proporcionada es cierta, completa y corresponde a hechos de su conocimiento directo. Asimismo, debe reconocer que es responsable del contenido de la información proporcionada a la Secretaría y a la Comisión, por lo que cualquier falsedad u omisión es de su exclusiva responsabilidad, sin perjuicio de las consecuencias legales que se prevén en la Normatividad vigente.</w:t>
            </w:r>
          </w:p>
        </w:tc>
        <w:tc>
          <w:tcPr>
            <w:tcW w:w="4649" w:type="dxa"/>
          </w:tcPr>
          <w:p w14:paraId="3160672F" w14:textId="3C25F215"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Declare, under penalty of perjury, that the information provided is true, complete, and consistent with facts of his or her direct knowledge. He or she must also acknowledge that he or she is responsible for the content of the information provided to the Secretary and the Commission, and that any falsehood or omission is his or her sole responsibility, without prejudice to the legal consequences provided for in current legislation.</w:t>
            </w:r>
          </w:p>
        </w:tc>
      </w:tr>
      <w:tr w:rsidR="009849AC" w:rsidRPr="00D0180E" w14:paraId="6A507CF5" w14:textId="5A6345A6" w:rsidTr="00F867DE">
        <w:tc>
          <w:tcPr>
            <w:tcW w:w="4711" w:type="dxa"/>
          </w:tcPr>
          <w:p w14:paraId="7DF63B5E"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t>Capítulo XI</w:t>
            </w:r>
          </w:p>
        </w:tc>
        <w:tc>
          <w:tcPr>
            <w:tcW w:w="4649" w:type="dxa"/>
          </w:tcPr>
          <w:p w14:paraId="2D73C766" w14:textId="5D9EBE9E" w:rsidR="009849AC" w:rsidRPr="00837D4A" w:rsidRDefault="009849AC" w:rsidP="009849AC">
            <w:pPr>
              <w:pStyle w:val="Texto"/>
              <w:spacing w:line="234"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XI</w:t>
            </w:r>
          </w:p>
        </w:tc>
      </w:tr>
      <w:tr w:rsidR="009849AC" w:rsidRPr="002C0F16" w14:paraId="42DB3EA8" w14:textId="4DB56294" w:rsidTr="00F867DE">
        <w:tc>
          <w:tcPr>
            <w:tcW w:w="4711" w:type="dxa"/>
          </w:tcPr>
          <w:p w14:paraId="2CD6ADEE"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t>De la Plataforma de Información Electrónica</w:t>
            </w:r>
          </w:p>
        </w:tc>
        <w:tc>
          <w:tcPr>
            <w:tcW w:w="4649" w:type="dxa"/>
          </w:tcPr>
          <w:p w14:paraId="4293AF64" w14:textId="16C4E0A2" w:rsidR="009849AC" w:rsidRPr="00837D4A" w:rsidRDefault="009849AC" w:rsidP="009849AC">
            <w:pPr>
              <w:pStyle w:val="Texto"/>
              <w:spacing w:line="234" w:lineRule="exact"/>
              <w:ind w:firstLine="0"/>
              <w:jc w:val="center"/>
              <w:rPr>
                <w:rFonts w:ascii="Verdana" w:hAnsi="Verdana"/>
                <w:b/>
                <w:sz w:val="16"/>
                <w:szCs w:val="16"/>
                <w:lang w:val="en-US"/>
              </w:rPr>
            </w:pPr>
            <w:r w:rsidRPr="00837D4A">
              <w:rPr>
                <w:rFonts w:ascii="Verdana" w:hAnsi="Verdana"/>
                <w:b/>
                <w:sz w:val="16"/>
                <w:szCs w:val="16"/>
                <w:lang w:val="en-US"/>
              </w:rPr>
              <w:t>Electronic Information Platform</w:t>
            </w:r>
          </w:p>
        </w:tc>
      </w:tr>
      <w:tr w:rsidR="009849AC" w:rsidRPr="002C0F16" w14:paraId="36E67A0D" w14:textId="36BC712F" w:rsidTr="00F867DE">
        <w:tc>
          <w:tcPr>
            <w:tcW w:w="4711" w:type="dxa"/>
          </w:tcPr>
          <w:p w14:paraId="6FFF7989"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201.</w:t>
            </w:r>
            <w:r w:rsidRPr="00837D4A">
              <w:rPr>
                <w:rFonts w:ascii="Verdana" w:hAnsi="Verdana"/>
                <w:sz w:val="16"/>
                <w:szCs w:val="16"/>
              </w:rPr>
              <w:t xml:space="preserve"> La Secretaría debe contar con una plataforma de información electrónica para la recopilación, concentración, gestión y análisis de la información del sector hidrocarburos, mediante la cual, por su cuenta o mediante la Comisión, debe supervisar las actividades reguladas y el cumplimiento de obligaciones de las personas Permisionarias, así como monitorear el comportamiento del mercado del sector hidrocarburos.</w:t>
            </w:r>
          </w:p>
        </w:tc>
        <w:tc>
          <w:tcPr>
            <w:tcW w:w="4649" w:type="dxa"/>
          </w:tcPr>
          <w:p w14:paraId="764EFA74" w14:textId="4A6393FD"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201. </w:t>
            </w:r>
            <w:r w:rsidRPr="00837D4A">
              <w:rPr>
                <w:rFonts w:ascii="Verdana" w:hAnsi="Verdana"/>
                <w:sz w:val="16"/>
                <w:szCs w:val="16"/>
                <w:lang w:val="en-US"/>
              </w:rPr>
              <w:t>The Secretary must have an electronic information platform for the collection, concentration, management, and analysis of information on the hydrocarbon sector. This platform, on its own behalf or through the Commission, must supervise the regulated activities and compliance with the obligations of permit holders, as well as monitor the market performance of the hydrocarbon sector.</w:t>
            </w:r>
          </w:p>
        </w:tc>
      </w:tr>
      <w:tr w:rsidR="009849AC" w:rsidRPr="002C0F16" w14:paraId="691D5FA4" w14:textId="4EEB20F0" w:rsidTr="00F867DE">
        <w:tc>
          <w:tcPr>
            <w:tcW w:w="4711" w:type="dxa"/>
          </w:tcPr>
          <w:p w14:paraId="42E5132C"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202.</w:t>
            </w:r>
            <w:r w:rsidRPr="00837D4A">
              <w:rPr>
                <w:rFonts w:ascii="Verdana" w:hAnsi="Verdana"/>
                <w:sz w:val="16"/>
                <w:szCs w:val="16"/>
              </w:rPr>
              <w:t xml:space="preserve"> La Secretaría o la Comisión, según corresponda, deben establecer, en la Normatividad que expidan, los procedimientos a que se debe sujetar la persona Permisionaria para el registro estadístico de las transacciones comerciales, controles volumétricos manejados, cantidad, calidad y precios aplicados según corresponda, para efecto de supervisar las entradas y salidas de Hidrocarburos, Petrolíferos y Petroquímicos en los Sistemas permisionados, así como la evolución de los mercados.</w:t>
            </w:r>
          </w:p>
        </w:tc>
        <w:tc>
          <w:tcPr>
            <w:tcW w:w="4649" w:type="dxa"/>
          </w:tcPr>
          <w:p w14:paraId="2D5B6723" w14:textId="1EFFF6C3"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202. </w:t>
            </w:r>
            <w:r w:rsidRPr="00837D4A">
              <w:rPr>
                <w:rFonts w:ascii="Verdana" w:hAnsi="Verdana"/>
                <w:sz w:val="16"/>
                <w:szCs w:val="16"/>
                <w:lang w:val="en-US"/>
              </w:rPr>
              <w:t>The Secretary or the Commission, as appropriate, must establish, in the legislation they issue, the procedures to which the permit holder must be subject for the statistical registration of commercial transactions, volumetric controls handled, quantity, quality and prices applied as appropriate, for the purpose of supervising the entries and exits of hydrocarbons, petroleum products and petrochemicals in the permitted systems, as well as the evolution of the markets.</w:t>
            </w:r>
          </w:p>
        </w:tc>
      </w:tr>
      <w:tr w:rsidR="009849AC" w:rsidRPr="002C0F16" w14:paraId="1FE7B598" w14:textId="26907C4A" w:rsidTr="00F867DE">
        <w:tc>
          <w:tcPr>
            <w:tcW w:w="4711" w:type="dxa"/>
          </w:tcPr>
          <w:p w14:paraId="26EAFC8F"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lastRenderedPageBreak/>
              <w:t>La persona Permisionaria debe conservar los reportes de información de controles volumétricos de Hidrocarburos y Petrolíferos, relacionados con el artículo 119, fracciones XXI, XXII, XXIII y XXIV de la Ley, durante los plazos establecidos en la Normatividad aplicable.</w:t>
            </w:r>
          </w:p>
        </w:tc>
        <w:tc>
          <w:tcPr>
            <w:tcW w:w="4649" w:type="dxa"/>
          </w:tcPr>
          <w:p w14:paraId="0FFCDCCE" w14:textId="0C567293"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The Permit Holder must retain the volumetric control information reports for hydrocarbons and petroleum products, related to article 119, sections XXI, XXII, XXIII and XXIV of the Law, during the periods established in the applicable legislation.</w:t>
            </w:r>
          </w:p>
        </w:tc>
      </w:tr>
      <w:tr w:rsidR="009849AC" w:rsidRPr="002C0F16" w14:paraId="67134689" w14:textId="72AF8DF8" w:rsidTr="00F867DE">
        <w:tc>
          <w:tcPr>
            <w:tcW w:w="4711" w:type="dxa"/>
          </w:tcPr>
          <w:p w14:paraId="172E522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 xml:space="preserve">Artículo 203. </w:t>
            </w:r>
            <w:r w:rsidRPr="00837D4A">
              <w:rPr>
                <w:rFonts w:ascii="Verdana" w:hAnsi="Verdana"/>
                <w:sz w:val="16"/>
                <w:szCs w:val="16"/>
              </w:rPr>
              <w:t>Para efectos de cumplir con la obligación prevista en el artículo 76 segundo y tercer párrafos de la Ley, las personas Permisionarias deben presentar la información correspondiente, así como la de precios, mediante la plataforma de información electrónica que establece la Secretaría y demás autoridades de conformidad con la Normatividad aplicable.</w:t>
            </w:r>
          </w:p>
        </w:tc>
        <w:tc>
          <w:tcPr>
            <w:tcW w:w="4649" w:type="dxa"/>
          </w:tcPr>
          <w:p w14:paraId="53E659B4" w14:textId="64551BA8"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203. </w:t>
            </w:r>
            <w:r w:rsidRPr="00837D4A">
              <w:rPr>
                <w:rFonts w:ascii="Verdana" w:hAnsi="Verdana"/>
                <w:sz w:val="16"/>
                <w:szCs w:val="16"/>
                <w:lang w:val="en-US"/>
              </w:rPr>
              <w:t>In order to comply with the obligations, set forth in the second and third paragraphs of Article 76 of the Law, permit holders must submit the corresponding information, as well as prices, through the electronic information platform established by the Secretary and other authorities in accordance with the applicable legislation.</w:t>
            </w:r>
          </w:p>
        </w:tc>
      </w:tr>
      <w:tr w:rsidR="009849AC" w:rsidRPr="002C0F16" w14:paraId="51DB72E8" w14:textId="470C3CE9" w:rsidTr="00F867DE">
        <w:tc>
          <w:tcPr>
            <w:tcW w:w="4711" w:type="dxa"/>
          </w:tcPr>
          <w:p w14:paraId="6985ECD4"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204.</w:t>
            </w:r>
            <w:r w:rsidRPr="00837D4A">
              <w:rPr>
                <w:rFonts w:ascii="Verdana" w:hAnsi="Verdana"/>
                <w:sz w:val="16"/>
                <w:szCs w:val="16"/>
              </w:rPr>
              <w:t xml:space="preserve"> La persona Permisionaria debe ser responsable del contenido y veracidad de la información proporcionada en la plataforma de información electrónica, por lo que cualquier falsedad u omisión es de su exclusiva responsabilidad, sin perjuicio de las consecuencias legales que se prevén en la Normatividad vigente.</w:t>
            </w:r>
          </w:p>
        </w:tc>
        <w:tc>
          <w:tcPr>
            <w:tcW w:w="4649" w:type="dxa"/>
          </w:tcPr>
          <w:p w14:paraId="3B898D69" w14:textId="6138946D"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204. </w:t>
            </w:r>
            <w:r w:rsidRPr="00837D4A">
              <w:rPr>
                <w:rFonts w:ascii="Verdana" w:hAnsi="Verdana"/>
                <w:sz w:val="16"/>
                <w:szCs w:val="16"/>
                <w:lang w:val="en-US"/>
              </w:rPr>
              <w:t>The permit holder must be responsible for the content and veracity of the information provided on the electronic information platform, so any falsehood or omission is his or her sole responsibility, without prejudice to the legal consequences provided for in the current Regulation.</w:t>
            </w:r>
          </w:p>
        </w:tc>
      </w:tr>
      <w:tr w:rsidR="009849AC" w:rsidRPr="002C0F16" w14:paraId="63D258B9" w14:textId="2702DC06" w:rsidTr="00F867DE">
        <w:tc>
          <w:tcPr>
            <w:tcW w:w="4711" w:type="dxa"/>
          </w:tcPr>
          <w:p w14:paraId="6AD40BB7"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205.</w:t>
            </w:r>
            <w:r w:rsidRPr="00837D4A">
              <w:rPr>
                <w:rFonts w:ascii="Verdana" w:hAnsi="Verdana"/>
                <w:sz w:val="16"/>
                <w:szCs w:val="16"/>
              </w:rPr>
              <w:t xml:space="preserve"> La información contenida en la plataforma de información electrónica debe estar disponible para su consulta por las autoridades competentes en materia de hidrocarburos.</w:t>
            </w:r>
          </w:p>
        </w:tc>
        <w:tc>
          <w:tcPr>
            <w:tcW w:w="4649" w:type="dxa"/>
          </w:tcPr>
          <w:p w14:paraId="33BF94B8" w14:textId="4190A828"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205. </w:t>
            </w:r>
            <w:r w:rsidRPr="00837D4A">
              <w:rPr>
                <w:rFonts w:ascii="Verdana" w:hAnsi="Verdana"/>
                <w:sz w:val="16"/>
                <w:szCs w:val="16"/>
                <w:lang w:val="en-US"/>
              </w:rPr>
              <w:t>The information contained in the electronic information platform must be available for consultation by the appropriate hydrocarbon authorities.</w:t>
            </w:r>
          </w:p>
        </w:tc>
      </w:tr>
      <w:tr w:rsidR="009849AC" w:rsidRPr="002C0F16" w14:paraId="568B65AE" w14:textId="57B915B5" w:rsidTr="00F867DE">
        <w:tc>
          <w:tcPr>
            <w:tcW w:w="4711" w:type="dxa"/>
          </w:tcPr>
          <w:p w14:paraId="17A2AB1E"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206.</w:t>
            </w:r>
            <w:r w:rsidRPr="00837D4A">
              <w:rPr>
                <w:rFonts w:ascii="Verdana" w:hAnsi="Verdana"/>
                <w:sz w:val="16"/>
                <w:szCs w:val="16"/>
              </w:rPr>
              <w:t xml:space="preserve"> La Secretaría y la Comisión deben celebrar convenios de colaboración interinstitucional con las autoridades competentes para regular el acceso a la plataforma de información electrónica que al efecto se determine, con la finalidad de facilitar el intercambio de información en materia de prevención y sanción de delitos cometidos en materia de hidrocarburos.</w:t>
            </w:r>
          </w:p>
        </w:tc>
        <w:tc>
          <w:tcPr>
            <w:tcW w:w="4649" w:type="dxa"/>
          </w:tcPr>
          <w:p w14:paraId="7282A9CD" w14:textId="1DF6C895"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206. </w:t>
            </w:r>
            <w:r w:rsidRPr="00837D4A">
              <w:rPr>
                <w:rFonts w:ascii="Verdana" w:hAnsi="Verdana"/>
                <w:sz w:val="16"/>
                <w:szCs w:val="16"/>
                <w:lang w:val="en-US"/>
              </w:rPr>
              <w:t>The Secretary and the Commission must enter into inter-institutional collaboration agreements with the appropriate authorities to regulate access to the electronic information platform determined for this purpose, with the aim of facilitating the exchange of information on the prevention and punishment of crimes committed in the field of hydrocarbons.</w:t>
            </w:r>
          </w:p>
        </w:tc>
      </w:tr>
      <w:tr w:rsidR="009849AC" w:rsidRPr="00D0180E" w14:paraId="7775699E" w14:textId="19B910A4" w:rsidTr="00F867DE">
        <w:tc>
          <w:tcPr>
            <w:tcW w:w="4711" w:type="dxa"/>
          </w:tcPr>
          <w:p w14:paraId="3CC89E80"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t>TÍTULO CUARTO</w:t>
            </w:r>
          </w:p>
        </w:tc>
        <w:tc>
          <w:tcPr>
            <w:tcW w:w="4649" w:type="dxa"/>
          </w:tcPr>
          <w:p w14:paraId="6BC01E18" w14:textId="04EB1741" w:rsidR="009849AC" w:rsidRPr="00837D4A" w:rsidRDefault="009849AC" w:rsidP="009849AC">
            <w:pPr>
              <w:pStyle w:val="Texto"/>
              <w:spacing w:line="234" w:lineRule="exact"/>
              <w:ind w:firstLine="0"/>
              <w:jc w:val="center"/>
              <w:rPr>
                <w:rFonts w:ascii="Verdana" w:hAnsi="Verdana"/>
                <w:b/>
                <w:sz w:val="16"/>
                <w:szCs w:val="16"/>
                <w:lang w:val="en-US"/>
              </w:rPr>
            </w:pPr>
            <w:r w:rsidRPr="00837D4A">
              <w:rPr>
                <w:rFonts w:ascii="Verdana" w:hAnsi="Verdana"/>
                <w:b/>
                <w:sz w:val="16"/>
                <w:szCs w:val="16"/>
              </w:rPr>
              <w:t>FOURTH TITLE</w:t>
            </w:r>
          </w:p>
        </w:tc>
      </w:tr>
      <w:tr w:rsidR="009849AC" w:rsidRPr="002C0F16" w14:paraId="36135B26" w14:textId="444F799A" w:rsidTr="00F867DE">
        <w:tc>
          <w:tcPr>
            <w:tcW w:w="4711" w:type="dxa"/>
          </w:tcPr>
          <w:p w14:paraId="6E61B96C"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t>DE LAS DISPOSICIONES APLICABLES A LA INDUSTRIA DE HIDROCARBUROS</w:t>
            </w:r>
          </w:p>
        </w:tc>
        <w:tc>
          <w:tcPr>
            <w:tcW w:w="4649" w:type="dxa"/>
          </w:tcPr>
          <w:p w14:paraId="37F8DE97" w14:textId="49E7D3A8" w:rsidR="009849AC" w:rsidRPr="00837D4A" w:rsidRDefault="009849AC" w:rsidP="009849AC">
            <w:pPr>
              <w:pStyle w:val="Texto"/>
              <w:spacing w:line="234" w:lineRule="exact"/>
              <w:ind w:firstLine="0"/>
              <w:jc w:val="center"/>
              <w:rPr>
                <w:rFonts w:ascii="Verdana" w:hAnsi="Verdana"/>
                <w:b/>
                <w:sz w:val="16"/>
                <w:szCs w:val="16"/>
                <w:lang w:val="en-US"/>
              </w:rPr>
            </w:pPr>
            <w:r w:rsidRPr="00837D4A">
              <w:rPr>
                <w:rFonts w:ascii="Verdana" w:hAnsi="Verdana"/>
                <w:b/>
                <w:sz w:val="16"/>
                <w:szCs w:val="16"/>
                <w:lang w:val="en-US"/>
              </w:rPr>
              <w:t>PROVISIONS APPLICABLE TO THE HYDROCARBON INDUSTRY</w:t>
            </w:r>
          </w:p>
        </w:tc>
      </w:tr>
      <w:tr w:rsidR="009849AC" w:rsidRPr="00D0180E" w14:paraId="51ACAE3D" w14:textId="618011EF" w:rsidTr="00F867DE">
        <w:tc>
          <w:tcPr>
            <w:tcW w:w="4711" w:type="dxa"/>
          </w:tcPr>
          <w:p w14:paraId="1F9C7E79"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t>Capítulo I</w:t>
            </w:r>
          </w:p>
        </w:tc>
        <w:tc>
          <w:tcPr>
            <w:tcW w:w="4649" w:type="dxa"/>
          </w:tcPr>
          <w:p w14:paraId="093CD7D1" w14:textId="54859C5C" w:rsidR="009849AC" w:rsidRPr="00837D4A" w:rsidRDefault="009849AC" w:rsidP="009849AC">
            <w:pPr>
              <w:pStyle w:val="Texto"/>
              <w:spacing w:line="234"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w:t>
            </w:r>
          </w:p>
        </w:tc>
      </w:tr>
      <w:tr w:rsidR="009849AC" w:rsidRPr="002C0F16" w14:paraId="26F65C96" w14:textId="7E30262B" w:rsidTr="00F867DE">
        <w:tc>
          <w:tcPr>
            <w:tcW w:w="4711" w:type="dxa"/>
          </w:tcPr>
          <w:p w14:paraId="68A54288"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t>De la Información Obtenida de la Medición de los Hidrocarburos</w:t>
            </w:r>
          </w:p>
        </w:tc>
        <w:tc>
          <w:tcPr>
            <w:tcW w:w="4649" w:type="dxa"/>
          </w:tcPr>
          <w:p w14:paraId="18353722" w14:textId="0A59277D" w:rsidR="009849AC" w:rsidRPr="00837D4A" w:rsidRDefault="009849AC" w:rsidP="009849AC">
            <w:pPr>
              <w:pStyle w:val="Texto"/>
              <w:spacing w:line="234" w:lineRule="exact"/>
              <w:ind w:firstLine="0"/>
              <w:jc w:val="center"/>
              <w:rPr>
                <w:rFonts w:ascii="Verdana" w:hAnsi="Verdana"/>
                <w:b/>
                <w:sz w:val="16"/>
                <w:szCs w:val="16"/>
                <w:lang w:val="en-US"/>
              </w:rPr>
            </w:pPr>
            <w:r w:rsidRPr="00837D4A">
              <w:rPr>
                <w:rFonts w:ascii="Verdana" w:hAnsi="Verdana"/>
                <w:b/>
                <w:sz w:val="16"/>
                <w:szCs w:val="16"/>
                <w:lang w:val="en-US"/>
              </w:rPr>
              <w:t>Information Obtained from the Measurement of Hydrocarbons</w:t>
            </w:r>
          </w:p>
        </w:tc>
      </w:tr>
      <w:tr w:rsidR="009849AC" w:rsidRPr="002C0F16" w14:paraId="4DDC06F0" w14:textId="4C90E267" w:rsidTr="00F867DE">
        <w:tc>
          <w:tcPr>
            <w:tcW w:w="4711" w:type="dxa"/>
          </w:tcPr>
          <w:p w14:paraId="544A9FA9"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207.</w:t>
            </w:r>
            <w:r w:rsidRPr="00837D4A">
              <w:rPr>
                <w:rFonts w:ascii="Verdana" w:hAnsi="Verdana"/>
                <w:sz w:val="16"/>
                <w:szCs w:val="16"/>
              </w:rPr>
              <w:t xml:space="preserve"> La medición de los Hidrocarburos, Petrolíferos y Petroquímicos, así como el balance general que contemple dicha medición, desde la producción hasta la Comercialización y Expendio al Público, debe incorporarse en la plataforma de información electrónica.</w:t>
            </w:r>
          </w:p>
        </w:tc>
        <w:tc>
          <w:tcPr>
            <w:tcW w:w="4649" w:type="dxa"/>
          </w:tcPr>
          <w:p w14:paraId="6D4A5518" w14:textId="2BC6B5FA"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207. </w:t>
            </w:r>
            <w:r w:rsidRPr="00837D4A">
              <w:rPr>
                <w:rFonts w:ascii="Verdana" w:hAnsi="Verdana"/>
                <w:sz w:val="16"/>
                <w:szCs w:val="16"/>
                <w:lang w:val="en-US"/>
              </w:rPr>
              <w:t>The measurement of hydrocarbons, petroleum products and petrochemicals, as well as the general balance that includes said measurement, from production to marketing and public sale, must be incorporated into the electronic information platform.</w:t>
            </w:r>
          </w:p>
        </w:tc>
      </w:tr>
      <w:tr w:rsidR="009849AC" w:rsidRPr="00D0180E" w14:paraId="45FBCCDB" w14:textId="57AF6517" w:rsidTr="00F867DE">
        <w:tc>
          <w:tcPr>
            <w:tcW w:w="4711" w:type="dxa"/>
          </w:tcPr>
          <w:p w14:paraId="0D02F849"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t>Capítulo II</w:t>
            </w:r>
          </w:p>
        </w:tc>
        <w:tc>
          <w:tcPr>
            <w:tcW w:w="4649" w:type="dxa"/>
          </w:tcPr>
          <w:p w14:paraId="7EC6086E" w14:textId="47625C88" w:rsidR="009849AC" w:rsidRPr="00837D4A" w:rsidRDefault="009849AC" w:rsidP="009849AC">
            <w:pPr>
              <w:pStyle w:val="Texto"/>
              <w:spacing w:line="234"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II</w:t>
            </w:r>
          </w:p>
        </w:tc>
      </w:tr>
      <w:tr w:rsidR="009849AC" w:rsidRPr="002C0F16" w14:paraId="4C6A7C7D" w14:textId="0E3E6571" w:rsidTr="00F867DE">
        <w:tc>
          <w:tcPr>
            <w:tcW w:w="4711" w:type="dxa"/>
          </w:tcPr>
          <w:p w14:paraId="67EEBA35"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t>De las Bases de Coordinación para el Desarrollo de Proyectos en la Industria de Hidrocarburos</w:t>
            </w:r>
          </w:p>
        </w:tc>
        <w:tc>
          <w:tcPr>
            <w:tcW w:w="4649" w:type="dxa"/>
          </w:tcPr>
          <w:p w14:paraId="0AC64EBC" w14:textId="78E25968" w:rsidR="009849AC" w:rsidRPr="00837D4A" w:rsidRDefault="009849AC" w:rsidP="009849AC">
            <w:pPr>
              <w:pStyle w:val="Texto"/>
              <w:spacing w:line="234" w:lineRule="exact"/>
              <w:ind w:firstLine="0"/>
              <w:jc w:val="center"/>
              <w:rPr>
                <w:rFonts w:ascii="Verdana" w:hAnsi="Verdana"/>
                <w:b/>
                <w:sz w:val="16"/>
                <w:szCs w:val="16"/>
                <w:lang w:val="en-US"/>
              </w:rPr>
            </w:pPr>
            <w:r w:rsidRPr="00837D4A">
              <w:rPr>
                <w:rFonts w:ascii="Verdana" w:hAnsi="Verdana"/>
                <w:b/>
                <w:sz w:val="16"/>
                <w:szCs w:val="16"/>
                <w:lang w:val="en-US"/>
              </w:rPr>
              <w:t>Coordination Criteria for the Development of Projects in the Hydrocarbon Industry</w:t>
            </w:r>
          </w:p>
        </w:tc>
      </w:tr>
      <w:tr w:rsidR="009849AC" w:rsidRPr="002C0F16" w14:paraId="4639ACE8" w14:textId="74C73BFD" w:rsidTr="00F867DE">
        <w:tc>
          <w:tcPr>
            <w:tcW w:w="4711" w:type="dxa"/>
          </w:tcPr>
          <w:p w14:paraId="2C369D34"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208.</w:t>
            </w:r>
            <w:r w:rsidRPr="00837D4A">
              <w:rPr>
                <w:rFonts w:ascii="Verdana" w:hAnsi="Verdana"/>
                <w:sz w:val="16"/>
                <w:szCs w:val="16"/>
              </w:rPr>
              <w:t xml:space="preserve"> Corresponde a la Secretaría coordinar las acciones tendientes al cumplimiento del artículo 128, tercer párrafo de la Ley y en lo que corresponda, se debe estar a lo dispuesto en la Ley de Planeación y Transición </w:t>
            </w:r>
            <w:r w:rsidRPr="00837D4A">
              <w:rPr>
                <w:rFonts w:ascii="Verdana" w:hAnsi="Verdana"/>
                <w:sz w:val="16"/>
                <w:szCs w:val="16"/>
              </w:rPr>
              <w:lastRenderedPageBreak/>
              <w:t>Energética, su reglamento y demás Normatividad en la materia, que para tal efecto emita la Secretaría.</w:t>
            </w:r>
          </w:p>
        </w:tc>
        <w:tc>
          <w:tcPr>
            <w:tcW w:w="4649" w:type="dxa"/>
          </w:tcPr>
          <w:p w14:paraId="1A5553DF" w14:textId="3D35C0E1"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208. </w:t>
            </w:r>
            <w:r w:rsidRPr="00837D4A">
              <w:rPr>
                <w:rFonts w:ascii="Verdana" w:hAnsi="Verdana"/>
                <w:sz w:val="16"/>
                <w:szCs w:val="16"/>
                <w:lang w:val="en-US"/>
              </w:rPr>
              <w:t xml:space="preserve">The Secretary shall be responsible for coordinating actions aimed at compliance with Article 128, third paragraph of the Law and, where applicable, shall comply with the provisions of the Law of Energy Planning and Transition, its legislation and other </w:t>
            </w:r>
            <w:r w:rsidRPr="00837D4A">
              <w:rPr>
                <w:rFonts w:ascii="Verdana" w:hAnsi="Verdana"/>
                <w:sz w:val="16"/>
                <w:szCs w:val="16"/>
                <w:lang w:val="en-US"/>
              </w:rPr>
              <w:lastRenderedPageBreak/>
              <w:t>relevant Legislation issued by the Secretary for this purpose.</w:t>
            </w:r>
          </w:p>
        </w:tc>
      </w:tr>
      <w:tr w:rsidR="009849AC" w:rsidRPr="00D0180E" w14:paraId="16DF76E7" w14:textId="567F4855" w:rsidTr="00F867DE">
        <w:tc>
          <w:tcPr>
            <w:tcW w:w="4711" w:type="dxa"/>
          </w:tcPr>
          <w:p w14:paraId="2DAB1208"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lastRenderedPageBreak/>
              <w:t>Capítulo III</w:t>
            </w:r>
          </w:p>
        </w:tc>
        <w:tc>
          <w:tcPr>
            <w:tcW w:w="4649" w:type="dxa"/>
          </w:tcPr>
          <w:p w14:paraId="6C06D92A" w14:textId="312B0C88" w:rsidR="009849AC" w:rsidRPr="00837D4A" w:rsidRDefault="009849AC" w:rsidP="009849AC">
            <w:pPr>
              <w:pStyle w:val="Texto"/>
              <w:spacing w:line="234"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III</w:t>
            </w:r>
          </w:p>
        </w:tc>
      </w:tr>
      <w:tr w:rsidR="009849AC" w:rsidRPr="002C0F16" w14:paraId="7E48204E" w14:textId="5DC61CDD" w:rsidTr="00F867DE">
        <w:tc>
          <w:tcPr>
            <w:tcW w:w="4711" w:type="dxa"/>
          </w:tcPr>
          <w:p w14:paraId="15E14606" w14:textId="77777777" w:rsidR="009849AC" w:rsidRPr="00837D4A" w:rsidRDefault="009849AC" w:rsidP="009849AC">
            <w:pPr>
              <w:pStyle w:val="Texto"/>
              <w:spacing w:line="234" w:lineRule="exact"/>
              <w:ind w:firstLine="0"/>
              <w:jc w:val="center"/>
              <w:rPr>
                <w:rFonts w:ascii="Verdana" w:hAnsi="Verdana"/>
                <w:b/>
                <w:sz w:val="16"/>
                <w:szCs w:val="16"/>
              </w:rPr>
            </w:pPr>
            <w:r w:rsidRPr="00837D4A">
              <w:rPr>
                <w:rFonts w:ascii="Verdana" w:hAnsi="Verdana"/>
                <w:b/>
                <w:sz w:val="16"/>
                <w:szCs w:val="16"/>
              </w:rPr>
              <w:t>Del Uso y la Ocupación Superficial</w:t>
            </w:r>
          </w:p>
        </w:tc>
        <w:tc>
          <w:tcPr>
            <w:tcW w:w="4649" w:type="dxa"/>
          </w:tcPr>
          <w:p w14:paraId="144E26D3" w14:textId="3E104932" w:rsidR="009849AC" w:rsidRPr="00837D4A" w:rsidRDefault="009849AC" w:rsidP="009849AC">
            <w:pPr>
              <w:pStyle w:val="Texto"/>
              <w:spacing w:line="234" w:lineRule="exact"/>
              <w:ind w:firstLine="0"/>
              <w:jc w:val="center"/>
              <w:rPr>
                <w:rFonts w:ascii="Verdana" w:hAnsi="Verdana"/>
                <w:b/>
                <w:sz w:val="16"/>
                <w:szCs w:val="16"/>
                <w:lang w:val="en-US"/>
              </w:rPr>
            </w:pPr>
            <w:r w:rsidRPr="00837D4A">
              <w:rPr>
                <w:rFonts w:ascii="Verdana" w:hAnsi="Verdana"/>
                <w:b/>
                <w:sz w:val="16"/>
                <w:szCs w:val="16"/>
                <w:lang w:val="en-US"/>
              </w:rPr>
              <w:t>Use and Surface Occupation</w:t>
            </w:r>
          </w:p>
        </w:tc>
      </w:tr>
      <w:tr w:rsidR="009849AC" w:rsidRPr="002C0F16" w14:paraId="60DFADE2" w14:textId="15342CA5" w:rsidTr="00F867DE">
        <w:tc>
          <w:tcPr>
            <w:tcW w:w="4711" w:type="dxa"/>
          </w:tcPr>
          <w:p w14:paraId="300C3F28"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 xml:space="preserve">Artículo 209. </w:t>
            </w:r>
            <w:r w:rsidRPr="00837D4A">
              <w:rPr>
                <w:rFonts w:ascii="Verdana" w:hAnsi="Verdana"/>
                <w:sz w:val="16"/>
                <w:szCs w:val="16"/>
              </w:rPr>
              <w:t>Las personas Asignatarias, Contratistas o Permisionarias de Transporte por medio de Ductos, deben notificar los avisos de inicio de negociación a que se refiere el artículo 133, fracción IV de la Ley, a la Secretaría y a la Secretaría de Desarrollo Agrario, Territorial y Urbano, en un plazo de veinte días hábiles a partir de la recepción del escrito de interés por parte de la persona propietaria o titular del terreno, bien o derecho de que se trate, a que se refiere el artículo 133, fracción I de la Ley.</w:t>
            </w:r>
          </w:p>
        </w:tc>
        <w:tc>
          <w:tcPr>
            <w:tcW w:w="4649" w:type="dxa"/>
          </w:tcPr>
          <w:p w14:paraId="0DA16E11" w14:textId="461C1578"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209. </w:t>
            </w:r>
            <w:r w:rsidRPr="00837D4A">
              <w:rPr>
                <w:rFonts w:ascii="Verdana" w:hAnsi="Verdana"/>
                <w:sz w:val="16"/>
                <w:szCs w:val="16"/>
                <w:lang w:val="en-US"/>
              </w:rPr>
              <w:t>The assignees, contractors or permit holders of transportation by means of pipelines, must notify the notices of the start of negotiations referred to in article 133, section IV of the Law, to the Secretary and to the Secretary of Agrarian, Territorial and Urban Development, within a period of twenty business days from the receipt of the letter of interest by the owner or title holder of the land, property or right in question, referred to in article 133, section I of the Law.</w:t>
            </w:r>
          </w:p>
        </w:tc>
      </w:tr>
      <w:tr w:rsidR="009849AC" w:rsidRPr="002C0F16" w14:paraId="30325925" w14:textId="05083787" w:rsidTr="00F867DE">
        <w:tc>
          <w:tcPr>
            <w:tcW w:w="4711" w:type="dxa"/>
          </w:tcPr>
          <w:p w14:paraId="001E9477"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La notificación del aviso de inicio de negociación a que se refiere el párrafo anterior debe incluir lo siguiente:</w:t>
            </w:r>
          </w:p>
        </w:tc>
        <w:tc>
          <w:tcPr>
            <w:tcW w:w="4649" w:type="dxa"/>
          </w:tcPr>
          <w:p w14:paraId="2746F61C" w14:textId="60F34839"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The notification of the notice of commencement of trading referred to in the preceding paragraph must include the following:</w:t>
            </w:r>
          </w:p>
        </w:tc>
      </w:tr>
      <w:tr w:rsidR="009849AC" w:rsidRPr="002C0F16" w14:paraId="15A8203A" w14:textId="685C4F42" w:rsidTr="00F867DE">
        <w:tc>
          <w:tcPr>
            <w:tcW w:w="4711" w:type="dxa"/>
          </w:tcPr>
          <w:p w14:paraId="1692B7F6"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Actividad por desarrollar y plazo de ocupación el cual no debe exceder el plazo de la Asignación, Contrato para la Exploración y Extracción o permiso de Transporte por medio de Ductos;</w:t>
            </w:r>
          </w:p>
        </w:tc>
        <w:tc>
          <w:tcPr>
            <w:tcW w:w="4649" w:type="dxa"/>
          </w:tcPr>
          <w:p w14:paraId="385994EF" w14:textId="70269E14"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Activity to be developed and period of occupation which must not exceed the term of the Assignment, Contract for Exploration and Extraction or Transportation permit by means of Pipelines;</w:t>
            </w:r>
          </w:p>
        </w:tc>
      </w:tr>
      <w:tr w:rsidR="009849AC" w:rsidRPr="00D0180E" w14:paraId="207CD3BB" w14:textId="5FB35543" w:rsidTr="00F867DE">
        <w:tc>
          <w:tcPr>
            <w:tcW w:w="4711" w:type="dxa"/>
          </w:tcPr>
          <w:p w14:paraId="6DE90BF6"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Nombre del proyecto;</w:t>
            </w:r>
          </w:p>
        </w:tc>
        <w:tc>
          <w:tcPr>
            <w:tcW w:w="4649" w:type="dxa"/>
          </w:tcPr>
          <w:p w14:paraId="7DDACD45" w14:textId="148B4A46"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rPr>
              <w:t xml:space="preserve">II. </w:t>
            </w:r>
            <w:r w:rsidRPr="00837D4A">
              <w:rPr>
                <w:rFonts w:ascii="Verdana" w:hAnsi="Verdana"/>
                <w:b/>
                <w:sz w:val="16"/>
                <w:szCs w:val="16"/>
              </w:rPr>
              <w:tab/>
            </w:r>
            <w:r w:rsidRPr="00837D4A">
              <w:rPr>
                <w:rFonts w:ascii="Verdana" w:hAnsi="Verdana"/>
                <w:sz w:val="16"/>
                <w:szCs w:val="16"/>
                <w:lang w:val="en-US"/>
              </w:rPr>
              <w:t>Project name;</w:t>
            </w:r>
          </w:p>
        </w:tc>
      </w:tr>
      <w:tr w:rsidR="009849AC" w:rsidRPr="002C0F16" w14:paraId="1D319648" w14:textId="4E01B96A" w:rsidTr="00F867DE">
        <w:tc>
          <w:tcPr>
            <w:tcW w:w="4711" w:type="dxa"/>
          </w:tcPr>
          <w:p w14:paraId="6FD36E0B"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Referencia de la Asignación, Contrato para la Exploración y Extracción o permiso de Transporte por medio de Ductos que permita realizar la actividad del sector energético y su fecha de emisión;</w:t>
            </w:r>
          </w:p>
        </w:tc>
        <w:tc>
          <w:tcPr>
            <w:tcW w:w="4649" w:type="dxa"/>
          </w:tcPr>
          <w:p w14:paraId="33330055" w14:textId="3EAD0D36"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Reference of the Assignment, Contract for Exploration and Extraction or Transportation permit through Pipelines that allows the energy sector activity to be carried out and its issue date;</w:t>
            </w:r>
          </w:p>
        </w:tc>
      </w:tr>
      <w:tr w:rsidR="009849AC" w:rsidRPr="002C0F16" w14:paraId="636C2A8D" w14:textId="46A09B23" w:rsidTr="00F867DE">
        <w:tc>
          <w:tcPr>
            <w:tcW w:w="4711" w:type="dxa"/>
          </w:tcPr>
          <w:p w14:paraId="125F0C6B"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Nombre de la persona titular o propietaria del inmueble;</w:t>
            </w:r>
          </w:p>
        </w:tc>
        <w:tc>
          <w:tcPr>
            <w:tcW w:w="4649" w:type="dxa"/>
          </w:tcPr>
          <w:p w14:paraId="1A6C7AE3" w14:textId="0FE0A9C9"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Name of the person who owns or possesses the property;</w:t>
            </w:r>
          </w:p>
        </w:tc>
      </w:tr>
      <w:tr w:rsidR="009849AC" w:rsidRPr="002C0F16" w14:paraId="47EAE32F" w14:textId="4EB322E4" w:rsidTr="00F867DE">
        <w:tc>
          <w:tcPr>
            <w:tcW w:w="4711" w:type="dxa"/>
          </w:tcPr>
          <w:p w14:paraId="47A96094"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Datos del inmueble, incluidos, superficie o fracción a ocupar, municipio y entidad federativa, para lo cual debe acreditar la propiedad o posesión del inmueble;</w:t>
            </w:r>
          </w:p>
        </w:tc>
        <w:tc>
          <w:tcPr>
            <w:tcW w:w="4649" w:type="dxa"/>
          </w:tcPr>
          <w:p w14:paraId="494E6928" w14:textId="38DE3D57"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Property data, including the surface area or fraction to be occupied, municipality and federal entity, for which you must prove ownership or possession of the property;</w:t>
            </w:r>
          </w:p>
        </w:tc>
      </w:tr>
      <w:tr w:rsidR="009849AC" w:rsidRPr="002C0F16" w14:paraId="23AC6D07" w14:textId="602505B0" w:rsidTr="00F867DE">
        <w:tc>
          <w:tcPr>
            <w:tcW w:w="4711" w:type="dxa"/>
          </w:tcPr>
          <w:p w14:paraId="191A5E9D"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Fecha de inicio de negociación, y agregar copia simple del acuse del escrito de interés a que se refiere el artículo 133, fracción I de la Ley, y</w:t>
            </w:r>
          </w:p>
        </w:tc>
        <w:tc>
          <w:tcPr>
            <w:tcW w:w="4649" w:type="dxa"/>
          </w:tcPr>
          <w:p w14:paraId="075808D5" w14:textId="40E40AB9"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Date of start of negotiation, and add a simple copy of the acknowledgment of the writing of interest referred to in article 133, section I of the Law, and</w:t>
            </w:r>
          </w:p>
        </w:tc>
      </w:tr>
      <w:tr w:rsidR="009849AC" w:rsidRPr="002C0F16" w14:paraId="1C191E79" w14:textId="57578954" w:rsidTr="00F867DE">
        <w:tc>
          <w:tcPr>
            <w:tcW w:w="4711" w:type="dxa"/>
          </w:tcPr>
          <w:p w14:paraId="28DF5DAA"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Señalar la propuesta sobre la modalidad de contratación en términos del artículo 133, fracción V de la Ley.</w:t>
            </w:r>
          </w:p>
        </w:tc>
        <w:tc>
          <w:tcPr>
            <w:tcW w:w="4649" w:type="dxa"/>
          </w:tcPr>
          <w:p w14:paraId="543C2CF6" w14:textId="077C2610"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Indicate the proposal on the contracting modality in terms of article 133, section V of the Law.</w:t>
            </w:r>
          </w:p>
        </w:tc>
      </w:tr>
      <w:tr w:rsidR="009849AC" w:rsidRPr="002C0F16" w14:paraId="07B04D46" w14:textId="2395C438" w:rsidTr="00F867DE">
        <w:tc>
          <w:tcPr>
            <w:tcW w:w="4711" w:type="dxa"/>
          </w:tcPr>
          <w:p w14:paraId="0AB2C806"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La Secretaría y la Secretaría de Desarrollo Agrario, Territorial y Urbano pueden prevenir a las personas Asignatarias, Contratistas o Permisionarias de Transporte por medio de Ductos, de conformidad con lo señalado en la Ley Federal del Procedimiento Administrativo. En caso de que no se subsane la prevención se debe desechar el aviso de inicio de negociación.</w:t>
            </w:r>
          </w:p>
        </w:tc>
        <w:tc>
          <w:tcPr>
            <w:tcW w:w="4649" w:type="dxa"/>
          </w:tcPr>
          <w:p w14:paraId="43954C92" w14:textId="4DEFB615"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The Secretary and the Secretary of Agrarian, Territorial, and Urban Development may issue a warning to assignees, contractors, or permit holders of pipeline transportation, in accordance with the Federal Law on Administrative Procedure. If the warning is not remedied, the notice of commencement of negotiations must be rejected.</w:t>
            </w:r>
          </w:p>
        </w:tc>
      </w:tr>
      <w:tr w:rsidR="009849AC" w:rsidRPr="002C0F16" w14:paraId="08AB3ED6" w14:textId="51A747AB" w:rsidTr="00F867DE">
        <w:tc>
          <w:tcPr>
            <w:tcW w:w="4711" w:type="dxa"/>
          </w:tcPr>
          <w:p w14:paraId="119127A9"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 xml:space="preserve">En caso de que la negociación se suspenda, las personas Asignatarias, Contratistas o Permisionarias de Transporte por medio de Ductos deben informar la razón a la Secretaría y la Secretaría de Desarrollo Agrario, </w:t>
            </w:r>
            <w:r w:rsidRPr="00837D4A">
              <w:rPr>
                <w:rFonts w:ascii="Verdana" w:hAnsi="Verdana"/>
                <w:sz w:val="16"/>
                <w:szCs w:val="16"/>
              </w:rPr>
              <w:lastRenderedPageBreak/>
              <w:t>Territorial y Urbano, para los efectos jurídicos a que haya lugar.</w:t>
            </w:r>
          </w:p>
        </w:tc>
        <w:tc>
          <w:tcPr>
            <w:tcW w:w="4649" w:type="dxa"/>
          </w:tcPr>
          <w:p w14:paraId="197541AA" w14:textId="500B4439"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lastRenderedPageBreak/>
              <w:t xml:space="preserve">In the event that negotiations are suspended, the assignees, contractors, or pipeline transportation permit holders must inform the Secretary and the Secretary of Agrarian, Territorial, and Urban </w:t>
            </w:r>
            <w:r w:rsidRPr="00837D4A">
              <w:rPr>
                <w:rFonts w:ascii="Verdana" w:hAnsi="Verdana"/>
                <w:sz w:val="16"/>
                <w:szCs w:val="16"/>
                <w:lang w:val="en-US"/>
              </w:rPr>
              <w:lastRenderedPageBreak/>
              <w:t>Development of the reason for the appropriate legal action.</w:t>
            </w:r>
          </w:p>
        </w:tc>
      </w:tr>
      <w:tr w:rsidR="009849AC" w:rsidRPr="002C0F16" w14:paraId="1E06E70D" w14:textId="4264E8BB" w:rsidTr="00F867DE">
        <w:tc>
          <w:tcPr>
            <w:tcW w:w="4711" w:type="dxa"/>
          </w:tcPr>
          <w:p w14:paraId="2C965350"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lastRenderedPageBreak/>
              <w:t xml:space="preserve">Artículo 210. </w:t>
            </w:r>
            <w:r w:rsidRPr="00837D4A">
              <w:rPr>
                <w:rFonts w:ascii="Verdana" w:hAnsi="Verdana"/>
                <w:sz w:val="16"/>
                <w:szCs w:val="16"/>
              </w:rPr>
              <w:t>La Secretaría y la Secretaría de Desarrollo Agrario, Territorial y Urbano pueden declarar la improcedencia de la presentación del aviso de inicio de negociación a que se refiere el artículo 133, fracción IV de la Ley, en los casos siguientes:</w:t>
            </w:r>
          </w:p>
        </w:tc>
        <w:tc>
          <w:tcPr>
            <w:tcW w:w="4649" w:type="dxa"/>
          </w:tcPr>
          <w:p w14:paraId="34411CD6" w14:textId="721E1E7B"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210. </w:t>
            </w:r>
            <w:r w:rsidRPr="00837D4A">
              <w:rPr>
                <w:rFonts w:ascii="Verdana" w:hAnsi="Verdana"/>
                <w:sz w:val="16"/>
                <w:szCs w:val="16"/>
                <w:lang w:val="en-US"/>
              </w:rPr>
              <w:t>The Secretary and the Secretary of Agrarian, Territorial and Urban Development may declare the inadmissibility of the presentation of the notice of commencement of negotiation referred to in Article 133, Section IV of the Law, in the following cases:</w:t>
            </w:r>
          </w:p>
        </w:tc>
      </w:tr>
      <w:tr w:rsidR="009849AC" w:rsidRPr="002C0F16" w14:paraId="233A4998" w14:textId="40FBFB7C" w:rsidTr="00F867DE">
        <w:tc>
          <w:tcPr>
            <w:tcW w:w="4711" w:type="dxa"/>
          </w:tcPr>
          <w:p w14:paraId="09DAA00A"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Cuando no se cuente con la Asignación, Contrato para la Exploración y Extracción o permiso de Transporte por medio de Ductos que ampare la actividad;</w:t>
            </w:r>
          </w:p>
        </w:tc>
        <w:tc>
          <w:tcPr>
            <w:tcW w:w="4649" w:type="dxa"/>
          </w:tcPr>
          <w:p w14:paraId="1DEB914D" w14:textId="4FEB2FB2"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When there is no Assignment, Contract for Exploration and Extraction or Transportation permit through Pipelines that covers the activity;</w:t>
            </w:r>
          </w:p>
        </w:tc>
      </w:tr>
      <w:tr w:rsidR="009849AC" w:rsidRPr="002C0F16" w14:paraId="66F0F1BE" w14:textId="7131F4DC" w:rsidTr="00F867DE">
        <w:tc>
          <w:tcPr>
            <w:tcW w:w="4711" w:type="dxa"/>
          </w:tcPr>
          <w:p w14:paraId="0E261B45"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Que la actividad sobre la cual se presenta el aviso de negociación no se encuentre prevista dentro del Título Cuarto, Capítulo IV de la Ley;</w:t>
            </w:r>
          </w:p>
        </w:tc>
        <w:tc>
          <w:tcPr>
            <w:tcW w:w="4649" w:type="dxa"/>
          </w:tcPr>
          <w:p w14:paraId="248B9D7A" w14:textId="5651AE2D"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That the activity for which the negotiation notice is submitted is not provided for in the Fourth Title, Chapter IV of the Law;</w:t>
            </w:r>
          </w:p>
        </w:tc>
      </w:tr>
      <w:tr w:rsidR="009849AC" w:rsidRPr="002C0F16" w14:paraId="221794B2" w14:textId="1B25070C" w:rsidTr="00F867DE">
        <w:tc>
          <w:tcPr>
            <w:tcW w:w="4711" w:type="dxa"/>
          </w:tcPr>
          <w:p w14:paraId="4476F165"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Cuando se encuentre pendiente o en curso la celebración de un procedimiento de Consulta Previa para el proyecto;</w:t>
            </w:r>
          </w:p>
        </w:tc>
        <w:tc>
          <w:tcPr>
            <w:tcW w:w="4649" w:type="dxa"/>
          </w:tcPr>
          <w:p w14:paraId="768C13E6" w14:textId="43872900"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When a prior consultation procedure for the project is pending or in progress;</w:t>
            </w:r>
          </w:p>
        </w:tc>
      </w:tr>
      <w:tr w:rsidR="009849AC" w:rsidRPr="002C0F16" w14:paraId="6E4C925D" w14:textId="76E455C3" w:rsidTr="00F867DE">
        <w:tc>
          <w:tcPr>
            <w:tcW w:w="4711" w:type="dxa"/>
          </w:tcPr>
          <w:p w14:paraId="7DB044CE"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Cuando se presente el aviso de inicio de negociación fuera del plazo establecido en el artículo anterior;</w:t>
            </w:r>
          </w:p>
        </w:tc>
        <w:tc>
          <w:tcPr>
            <w:tcW w:w="4649" w:type="dxa"/>
          </w:tcPr>
          <w:p w14:paraId="30BB19BE" w14:textId="0B7D319B"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When the notice of commencement of trading is submitted outside the period established in the preceding article;</w:t>
            </w:r>
          </w:p>
        </w:tc>
      </w:tr>
      <w:tr w:rsidR="009849AC" w:rsidRPr="002C0F16" w14:paraId="7E846886" w14:textId="14D76A43" w:rsidTr="00F867DE">
        <w:tc>
          <w:tcPr>
            <w:tcW w:w="4711" w:type="dxa"/>
          </w:tcPr>
          <w:p w14:paraId="0A97D99F"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Cuando se presente un aviso de inicio de negociación cuya Asignación, Contrato para la Exploración y Extracción o permiso de Transporte por medio de Ductos haya sido revocado o rescindido;</w:t>
            </w:r>
          </w:p>
        </w:tc>
        <w:tc>
          <w:tcPr>
            <w:tcW w:w="4649" w:type="dxa"/>
          </w:tcPr>
          <w:p w14:paraId="271456D2" w14:textId="4C82B968"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When a notice of commencement of negotiation is submitted whose Assignment, Contract for Exploration and Extraction or Transportation permit by means of Pipelines has been revoked or rescinded;</w:t>
            </w:r>
          </w:p>
        </w:tc>
      </w:tr>
      <w:tr w:rsidR="009849AC" w:rsidRPr="002C0F16" w14:paraId="0B78D7FE" w14:textId="52537EE5" w:rsidTr="00F867DE">
        <w:tc>
          <w:tcPr>
            <w:tcW w:w="4711" w:type="dxa"/>
          </w:tcPr>
          <w:p w14:paraId="38AACCA0"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Cuando se presente el aviso de negociación sobre el mismo titular, inmueble y fracción, y</w:t>
            </w:r>
          </w:p>
        </w:tc>
        <w:tc>
          <w:tcPr>
            <w:tcW w:w="4649" w:type="dxa"/>
          </w:tcPr>
          <w:p w14:paraId="6837F167" w14:textId="67C9B52C"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When the negotiation notice is presented to the same owner, property and fraction, and</w:t>
            </w:r>
          </w:p>
        </w:tc>
      </w:tr>
      <w:tr w:rsidR="009849AC" w:rsidRPr="002C0F16" w14:paraId="2536F3CC" w14:textId="4534F0EE" w:rsidTr="00F867DE">
        <w:tc>
          <w:tcPr>
            <w:tcW w:w="4711" w:type="dxa"/>
          </w:tcPr>
          <w:p w14:paraId="3602D1CA"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Cualquier otra que se establezca en la Normatividad que emita la Secretaría.</w:t>
            </w:r>
          </w:p>
        </w:tc>
        <w:tc>
          <w:tcPr>
            <w:tcW w:w="4649" w:type="dxa"/>
          </w:tcPr>
          <w:p w14:paraId="1B0BC59C" w14:textId="205B7AC8"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Any other provisions established in the Legislation issued by the Secretary.</w:t>
            </w:r>
          </w:p>
        </w:tc>
      </w:tr>
      <w:tr w:rsidR="009849AC" w:rsidRPr="002C0F16" w14:paraId="7FEF6245" w14:textId="2DA8C1C6" w:rsidTr="00F867DE">
        <w:tc>
          <w:tcPr>
            <w:tcW w:w="4711" w:type="dxa"/>
          </w:tcPr>
          <w:p w14:paraId="4833A28A"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211</w:t>
            </w:r>
            <w:r w:rsidRPr="00837D4A">
              <w:rPr>
                <w:rFonts w:ascii="Verdana" w:hAnsi="Verdana"/>
                <w:sz w:val="16"/>
                <w:szCs w:val="16"/>
              </w:rPr>
              <w:t>- Con el fin de facilitar la negociación y acuerdo a que se refieren los artículos 132 y 133 de la Ley, la Secretaría debe elaborar y emitir la Normatividad y los modelos de contratos a que se refiere el artículo 133, fracción VIII de la Ley.</w:t>
            </w:r>
          </w:p>
        </w:tc>
        <w:tc>
          <w:tcPr>
            <w:tcW w:w="4649" w:type="dxa"/>
          </w:tcPr>
          <w:p w14:paraId="3E1E8313" w14:textId="0216B782"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211 </w:t>
            </w:r>
            <w:r w:rsidRPr="00837D4A">
              <w:rPr>
                <w:rFonts w:ascii="Verdana" w:hAnsi="Verdana"/>
                <w:sz w:val="16"/>
                <w:szCs w:val="16"/>
                <w:lang w:val="en-US"/>
              </w:rPr>
              <w:t>- In order to facilitate the negotiation and agreement referred to in Articles 132 and 133 of the Law, the Secretary must prepare and issue the legislation and contract models referred to in Article 133, Section VIII of the Law.</w:t>
            </w:r>
          </w:p>
        </w:tc>
      </w:tr>
      <w:tr w:rsidR="009849AC" w:rsidRPr="002C0F16" w14:paraId="32FDF617" w14:textId="339747F2" w:rsidTr="00F867DE">
        <w:tc>
          <w:tcPr>
            <w:tcW w:w="4711" w:type="dxa"/>
          </w:tcPr>
          <w:p w14:paraId="1D99DE9D"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Lo anterior, a fin de que las personas propietarias o titulares de los terrenos, bienes o derechos de que se trate, además de los derechos reales, ejidales o comunales, y las personas Asignatarias, Contratistas o Permisionarias de Transporte por medio de Ductos, conozcan los contenidos mínimos, así como los derechos y obligaciones de las partes que pueden establecerse en el contrato que suscriban para el uso, goce, afectación o en su caso, adquisición de los terrenos, bienes o derechos.</w:t>
            </w:r>
          </w:p>
        </w:tc>
        <w:tc>
          <w:tcPr>
            <w:tcW w:w="4649" w:type="dxa"/>
          </w:tcPr>
          <w:p w14:paraId="4DAFD2CC" w14:textId="024A0276"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The foregoing is intended to ensure that the owners or holders of the land, assets or rights in question, in addition to the real, communal or ejidal</w:t>
            </w:r>
            <w:r w:rsidRPr="00837D4A">
              <w:rPr>
                <w:rStyle w:val="FootnoteReference"/>
                <w:rFonts w:ascii="Verdana" w:hAnsi="Verdana"/>
                <w:sz w:val="16"/>
                <w:szCs w:val="16"/>
                <w:lang w:val="en-US"/>
              </w:rPr>
              <w:footnoteReference w:id="5"/>
            </w:r>
            <w:r w:rsidRPr="00837D4A">
              <w:rPr>
                <w:rFonts w:ascii="Verdana" w:hAnsi="Verdana"/>
                <w:sz w:val="16"/>
                <w:szCs w:val="16"/>
                <w:lang w:val="en-US"/>
              </w:rPr>
              <w:t xml:space="preserve"> rights, and the Assignees, Contractors or Permit Holders of Transportation by means of Pipelines, are aware of the minimum contents, as well as the rights and obligations of the parties that may be established in the contract they sign for the use, enjoyment, assignment or, where appropriate, acquisition of the land, assets or rights.</w:t>
            </w:r>
          </w:p>
        </w:tc>
      </w:tr>
      <w:tr w:rsidR="009849AC" w:rsidRPr="002C0F16" w14:paraId="6DDEAB3D" w14:textId="6D36CBAD" w:rsidTr="00F867DE">
        <w:tc>
          <w:tcPr>
            <w:tcW w:w="4711" w:type="dxa"/>
          </w:tcPr>
          <w:p w14:paraId="53D6AE04"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212.</w:t>
            </w:r>
            <w:r w:rsidRPr="00837D4A">
              <w:rPr>
                <w:rFonts w:ascii="Verdana" w:hAnsi="Verdana"/>
                <w:sz w:val="16"/>
                <w:szCs w:val="16"/>
              </w:rPr>
              <w:t xml:space="preserve"> Para efectos del artículo 137 de la Ley, las personas Asignatarias, Contratistas o Permisionarias </w:t>
            </w:r>
            <w:r w:rsidRPr="00837D4A">
              <w:rPr>
                <w:rFonts w:ascii="Verdana" w:hAnsi="Verdana"/>
                <w:sz w:val="16"/>
                <w:szCs w:val="16"/>
              </w:rPr>
              <w:lastRenderedPageBreak/>
              <w:t>de Transporte por medio de Ductos deben presentar por escrito ante el órgano jurisdiccional competente, el acuerdo alcanzado a que se refiere dicha disposición, dentro de los sesenta días hábiles siguientes a que se haya suscrito este.</w:t>
            </w:r>
          </w:p>
        </w:tc>
        <w:tc>
          <w:tcPr>
            <w:tcW w:w="4649" w:type="dxa"/>
          </w:tcPr>
          <w:p w14:paraId="6A309771" w14:textId="2F133FE1"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212. </w:t>
            </w:r>
            <w:r w:rsidRPr="00837D4A">
              <w:rPr>
                <w:rFonts w:ascii="Verdana" w:hAnsi="Verdana"/>
                <w:sz w:val="16"/>
                <w:szCs w:val="16"/>
                <w:lang w:val="en-US"/>
              </w:rPr>
              <w:t xml:space="preserve">For the purposes of Article 137 of the Law, the Assignees, Contractors or Permit Holders of </w:t>
            </w:r>
            <w:r w:rsidRPr="00837D4A">
              <w:rPr>
                <w:rFonts w:ascii="Verdana" w:hAnsi="Verdana"/>
                <w:sz w:val="16"/>
                <w:szCs w:val="16"/>
                <w:lang w:val="en-US"/>
              </w:rPr>
              <w:lastRenderedPageBreak/>
              <w:t>Transportation by Pipelines must submit in writing to the appropriate jurisdictional body the agreement reached to which said provision refers, within sixty business days following its signing.</w:t>
            </w:r>
          </w:p>
        </w:tc>
      </w:tr>
      <w:tr w:rsidR="009849AC" w:rsidRPr="002C0F16" w14:paraId="75BF98EA" w14:textId="652EC3F5" w:rsidTr="00F867DE">
        <w:tc>
          <w:tcPr>
            <w:tcW w:w="4711" w:type="dxa"/>
          </w:tcPr>
          <w:p w14:paraId="125C308F"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sz w:val="16"/>
                <w:szCs w:val="16"/>
              </w:rPr>
              <w:lastRenderedPageBreak/>
              <w:t>Una vez que ha sido notificada la validación por la autoridad correspondiente, las personas Asignatarias, Contratistas o Permisionarias de Transporte por Ductos deben presentar a la Secretaría dentro de los treinta días hábiles siguientes, una copia del acuerdo alcanzado y la resolución que lo valida o las medidas decretadas por el Ejecutivo Federal o la autoridad jurisdiccional competente, en caso contrario, transcurrido dicho plazo sin que se presente, la Secretaría debe iniciar el procedimiento de sanción conforme a la Normatividad aplicable.</w:t>
            </w:r>
          </w:p>
        </w:tc>
        <w:tc>
          <w:tcPr>
            <w:tcW w:w="4649" w:type="dxa"/>
          </w:tcPr>
          <w:p w14:paraId="4E207C26" w14:textId="6371546A" w:rsidR="009849AC" w:rsidRPr="00837D4A" w:rsidRDefault="009849AC" w:rsidP="009849AC">
            <w:pPr>
              <w:pStyle w:val="Texto"/>
              <w:spacing w:line="218" w:lineRule="exact"/>
              <w:ind w:firstLine="0"/>
              <w:rPr>
                <w:rFonts w:ascii="Verdana" w:hAnsi="Verdana"/>
                <w:sz w:val="16"/>
                <w:szCs w:val="16"/>
                <w:lang w:val="en-US"/>
              </w:rPr>
            </w:pPr>
            <w:r w:rsidRPr="00837D4A">
              <w:rPr>
                <w:rFonts w:ascii="Verdana" w:hAnsi="Verdana"/>
                <w:sz w:val="16"/>
                <w:szCs w:val="16"/>
                <w:lang w:val="en-US"/>
              </w:rPr>
              <w:t>Once the validation has been notified by the corresponding authority, the Assignees, Contractors or Permit Holders of Pipeline Transportation must submit to the Secretary within the following thirty business days, a copy of the agreement reached and the resolution that validates it or the measures decreed by the Federal Executive or the appropriate jurisdictional authority, otherwise, if said period has elapsed without such submission, the Secretary must initiate the sanction procedure in accordance with the applicable legislation.</w:t>
            </w:r>
          </w:p>
        </w:tc>
      </w:tr>
      <w:tr w:rsidR="009849AC" w:rsidRPr="002C0F16" w14:paraId="6C6F91AB" w14:textId="4F479818" w:rsidTr="00F867DE">
        <w:tc>
          <w:tcPr>
            <w:tcW w:w="4711" w:type="dxa"/>
          </w:tcPr>
          <w:p w14:paraId="525A4756"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 xml:space="preserve">Artículo 213. </w:t>
            </w:r>
            <w:r w:rsidRPr="00837D4A">
              <w:rPr>
                <w:rFonts w:ascii="Verdana" w:hAnsi="Verdana"/>
                <w:sz w:val="16"/>
                <w:szCs w:val="16"/>
              </w:rPr>
              <w:t>La Secretaría debe emitir la Normatividad que regule las condiciones de participación, así como los mecanismos para el registro, permanencia y designación de las personas Testigos Sociales en los procesos de Mediación entre las personas Asignatarias, Contratistas o Permisionarias de Transporte por medio de Ductos, y las personas propietarias o titulares del terreno, bien o derecho de que se trate.</w:t>
            </w:r>
          </w:p>
        </w:tc>
        <w:tc>
          <w:tcPr>
            <w:tcW w:w="4649" w:type="dxa"/>
          </w:tcPr>
          <w:p w14:paraId="08A2A5D7" w14:textId="6F1CB959"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213. </w:t>
            </w:r>
            <w:r w:rsidRPr="00837D4A">
              <w:rPr>
                <w:rFonts w:ascii="Verdana" w:hAnsi="Verdana"/>
                <w:sz w:val="16"/>
                <w:szCs w:val="16"/>
                <w:lang w:val="en-US"/>
              </w:rPr>
              <w:t>The Secretary must issue the Regulation that govern the conditions of participation, as well as the mechanisms for the registration, permanence and designation of Social Witnesses in the Mediation processes between the Assignees, Contractors or Permit Holders of Transportation by means of Pipelines, and the owners or holders of the land, property or right in question.</w:t>
            </w:r>
          </w:p>
        </w:tc>
      </w:tr>
      <w:tr w:rsidR="009849AC" w:rsidRPr="002C0F16" w14:paraId="64BDD884" w14:textId="62C0E9C4" w:rsidTr="00F867DE">
        <w:tc>
          <w:tcPr>
            <w:tcW w:w="4711" w:type="dxa"/>
          </w:tcPr>
          <w:p w14:paraId="0F344EC0"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sz w:val="16"/>
                <w:szCs w:val="16"/>
              </w:rPr>
              <w:t>La Secretaría debe emitir la convocatoria para el registro de las personas Testigos Sociales en los términos que dispongan la Normatividad a que se refiere el párrafo anterior los cuales deben ser personas físicas o morales, incluidas asociaciones o sociedades civiles sin conflicto de interés.</w:t>
            </w:r>
          </w:p>
        </w:tc>
        <w:tc>
          <w:tcPr>
            <w:tcW w:w="4649" w:type="dxa"/>
          </w:tcPr>
          <w:p w14:paraId="1DD4FB0B" w14:textId="0E1AE933" w:rsidR="009849AC" w:rsidRPr="00837D4A" w:rsidRDefault="009849AC" w:rsidP="009849AC">
            <w:pPr>
              <w:pStyle w:val="Texto"/>
              <w:spacing w:line="218" w:lineRule="exact"/>
              <w:ind w:firstLine="0"/>
              <w:rPr>
                <w:rFonts w:ascii="Verdana" w:hAnsi="Verdana"/>
                <w:sz w:val="16"/>
                <w:szCs w:val="16"/>
                <w:lang w:val="en-US"/>
              </w:rPr>
            </w:pPr>
            <w:r w:rsidRPr="00837D4A">
              <w:rPr>
                <w:rFonts w:ascii="Verdana" w:hAnsi="Verdana"/>
                <w:sz w:val="16"/>
                <w:szCs w:val="16"/>
                <w:lang w:val="en-US"/>
              </w:rPr>
              <w:t>The Secretary must issue the call for registration of Social Witnesses in accordance with the legislation referred to in the preceding paragraph. These witnesses must be individuals or legal entities, including associations or civil societies, with no conflict of interest.</w:t>
            </w:r>
          </w:p>
        </w:tc>
      </w:tr>
      <w:tr w:rsidR="009849AC" w:rsidRPr="002C0F16" w14:paraId="393B5DDB" w14:textId="0EAF8B9F" w:rsidTr="00F867DE">
        <w:tc>
          <w:tcPr>
            <w:tcW w:w="4711" w:type="dxa"/>
          </w:tcPr>
          <w:p w14:paraId="622825B4"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 xml:space="preserve">Artículo 214. </w:t>
            </w:r>
            <w:r w:rsidRPr="00837D4A">
              <w:rPr>
                <w:rFonts w:ascii="Verdana" w:hAnsi="Verdana"/>
                <w:sz w:val="16"/>
                <w:szCs w:val="16"/>
              </w:rPr>
              <w:t>La Secretaría de Desarrollo Agrario, Territorial y Urbano y, en su caso, la Secretaría, pueden iniciar un procedimiento de Mediación en los siguientes casos:</w:t>
            </w:r>
          </w:p>
        </w:tc>
        <w:tc>
          <w:tcPr>
            <w:tcW w:w="4649" w:type="dxa"/>
          </w:tcPr>
          <w:p w14:paraId="7F8C1632" w14:textId="3D45FF15"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214. </w:t>
            </w:r>
            <w:r w:rsidRPr="00837D4A">
              <w:rPr>
                <w:rFonts w:ascii="Verdana" w:hAnsi="Verdana"/>
                <w:sz w:val="16"/>
                <w:szCs w:val="16"/>
                <w:lang w:val="en-US"/>
              </w:rPr>
              <w:t>The Secretary of Agrarian, Territorial and Urban Development and, where appropriate, the Secretary may initiate a mediation procedure in the following cases:</w:t>
            </w:r>
          </w:p>
        </w:tc>
      </w:tr>
      <w:tr w:rsidR="009849AC" w:rsidRPr="002C0F16" w14:paraId="67D324CE" w14:textId="3C3C6849" w:rsidTr="00F867DE">
        <w:tc>
          <w:tcPr>
            <w:tcW w:w="4711" w:type="dxa"/>
          </w:tcPr>
          <w:p w14:paraId="358C70E0"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Cuando las partes conjuntamente lo soliciten expresamente por alguno de los supuestos siguientes:</w:t>
            </w:r>
          </w:p>
        </w:tc>
        <w:tc>
          <w:tcPr>
            <w:tcW w:w="4649" w:type="dxa"/>
          </w:tcPr>
          <w:p w14:paraId="7479968D" w14:textId="41FF0E7E"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When the parties jointly expressly request it for any of the following reasons:</w:t>
            </w:r>
          </w:p>
        </w:tc>
      </w:tr>
      <w:tr w:rsidR="009849AC" w:rsidRPr="002C0F16" w14:paraId="39EA7810" w14:textId="77919DD9" w:rsidTr="00F867DE">
        <w:tc>
          <w:tcPr>
            <w:tcW w:w="4711" w:type="dxa"/>
          </w:tcPr>
          <w:p w14:paraId="2A37CE1A"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Exista controversia respecto de la modalidad de adquisición, uso, goce o afectación de los terrenos, bienes o derechos, o</w:t>
            </w:r>
          </w:p>
        </w:tc>
        <w:tc>
          <w:tcPr>
            <w:tcW w:w="4649" w:type="dxa"/>
          </w:tcPr>
          <w:p w14:paraId="28618D23" w14:textId="67219D35"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There is a controversy regarding the method of acquisition, use, enjoyment or Assignment of the land, property or rights, or</w:t>
            </w:r>
          </w:p>
        </w:tc>
      </w:tr>
      <w:tr w:rsidR="009849AC" w:rsidRPr="002C0F16" w14:paraId="4E6C56D5" w14:textId="41704292" w:rsidTr="00F867DE">
        <w:tc>
          <w:tcPr>
            <w:tcW w:w="4711" w:type="dxa"/>
          </w:tcPr>
          <w:p w14:paraId="730CD5A0"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No exista acuerdo en la contraprestación ofrecida o su modalidad, y</w:t>
            </w:r>
          </w:p>
        </w:tc>
        <w:tc>
          <w:tcPr>
            <w:tcW w:w="4649" w:type="dxa"/>
          </w:tcPr>
          <w:p w14:paraId="0AB6A020" w14:textId="3CE29BC0"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There is no agreement on the consideration offered or its modality, and</w:t>
            </w:r>
          </w:p>
        </w:tc>
      </w:tr>
      <w:tr w:rsidR="009849AC" w:rsidRPr="002C0F16" w14:paraId="57835442" w14:textId="1B29B13C" w:rsidTr="00F867DE">
        <w:tc>
          <w:tcPr>
            <w:tcW w:w="4711" w:type="dxa"/>
          </w:tcPr>
          <w:p w14:paraId="2D4BFF06"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Cualquier otra que determine la Secretaría de Desarrollo Agrario, Territorial y Urbano y, en su caso, la Secretaría.</w:t>
            </w:r>
          </w:p>
        </w:tc>
        <w:tc>
          <w:tcPr>
            <w:tcW w:w="4649" w:type="dxa"/>
          </w:tcPr>
          <w:p w14:paraId="29811AD2" w14:textId="5E897E49"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Any other determined by the Secretary of Agrarian, Territorial and Urban Development and, where appropriate, the Secretary.</w:t>
            </w:r>
          </w:p>
        </w:tc>
      </w:tr>
      <w:tr w:rsidR="009849AC" w:rsidRPr="002C0F16" w14:paraId="29A38057" w14:textId="58EEC3D4" w:rsidTr="00F867DE">
        <w:tc>
          <w:tcPr>
            <w:tcW w:w="4711" w:type="dxa"/>
          </w:tcPr>
          <w:p w14:paraId="644441F7"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 xml:space="preserve">Artículo 215. </w:t>
            </w:r>
            <w:r w:rsidRPr="00837D4A">
              <w:rPr>
                <w:rFonts w:ascii="Verdana" w:hAnsi="Verdana"/>
                <w:sz w:val="16"/>
                <w:szCs w:val="16"/>
              </w:rPr>
              <w:t>La participación de las personas mediadoras o Testigos Sociales debe regirse por los principios de buena fe, confidencialidad, equidad, honestidad, imparcialidad, legalidad, neutralidad, eficiencia, eficacia y objetividad.</w:t>
            </w:r>
          </w:p>
        </w:tc>
        <w:tc>
          <w:tcPr>
            <w:tcW w:w="4649" w:type="dxa"/>
          </w:tcPr>
          <w:p w14:paraId="5ADB782D" w14:textId="6498FB26"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215. </w:t>
            </w:r>
            <w:r w:rsidRPr="00837D4A">
              <w:rPr>
                <w:rFonts w:ascii="Verdana" w:hAnsi="Verdana"/>
                <w:sz w:val="16"/>
                <w:szCs w:val="16"/>
                <w:lang w:val="en-US"/>
              </w:rPr>
              <w:t>The participation of mediators or Social Witnesses must be governed by the principles of good faith, confidentiality, equity, honesty, impartiality, legality, neutrality, efficiency, effectiveness and objectivity.</w:t>
            </w:r>
          </w:p>
        </w:tc>
      </w:tr>
      <w:tr w:rsidR="009849AC" w:rsidRPr="002C0F16" w14:paraId="30C96D17" w14:textId="309E4039" w:rsidTr="00F867DE">
        <w:tc>
          <w:tcPr>
            <w:tcW w:w="4711" w:type="dxa"/>
          </w:tcPr>
          <w:p w14:paraId="007F5AC2"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Artículo 216.</w:t>
            </w:r>
            <w:r w:rsidRPr="00837D4A">
              <w:rPr>
                <w:rFonts w:ascii="Verdana" w:hAnsi="Verdana"/>
                <w:sz w:val="16"/>
                <w:szCs w:val="16"/>
              </w:rPr>
              <w:t xml:space="preserve"> Las personas mediadoras y Testigos Sociales tienen las siguientes funciones:</w:t>
            </w:r>
          </w:p>
        </w:tc>
        <w:tc>
          <w:tcPr>
            <w:tcW w:w="4649" w:type="dxa"/>
          </w:tcPr>
          <w:p w14:paraId="4212976F" w14:textId="5BE7CC2D"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216. </w:t>
            </w:r>
            <w:r w:rsidRPr="00837D4A">
              <w:rPr>
                <w:rFonts w:ascii="Verdana" w:hAnsi="Verdana"/>
                <w:sz w:val="16"/>
                <w:szCs w:val="16"/>
                <w:lang w:val="en-US"/>
              </w:rPr>
              <w:t>Mediators and Social Witnesses have the following functions:</w:t>
            </w:r>
          </w:p>
        </w:tc>
      </w:tr>
      <w:tr w:rsidR="009849AC" w:rsidRPr="002C0F16" w14:paraId="2EBCF0CF" w14:textId="5E485729" w:rsidTr="00F867DE">
        <w:tc>
          <w:tcPr>
            <w:tcW w:w="4711" w:type="dxa"/>
          </w:tcPr>
          <w:p w14:paraId="3A6AD011"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Escuchar a las partes a fin de conciliar sus intereses y pretensiones;</w:t>
            </w:r>
          </w:p>
        </w:tc>
        <w:tc>
          <w:tcPr>
            <w:tcW w:w="4649" w:type="dxa"/>
          </w:tcPr>
          <w:p w14:paraId="1844B7EF" w14:textId="063E3AAC"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To listen to the parties in order to reconcile their interests and claims;</w:t>
            </w:r>
          </w:p>
        </w:tc>
      </w:tr>
      <w:tr w:rsidR="009849AC" w:rsidRPr="002C0F16" w14:paraId="3AAF7AAE" w14:textId="1F50FEDA" w:rsidTr="00F867DE">
        <w:tc>
          <w:tcPr>
            <w:tcW w:w="4711" w:type="dxa"/>
          </w:tcPr>
          <w:p w14:paraId="216F0214"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lastRenderedPageBreak/>
              <w:t>II.</w:t>
            </w:r>
            <w:r w:rsidRPr="00837D4A">
              <w:rPr>
                <w:rFonts w:ascii="Verdana" w:hAnsi="Verdana"/>
                <w:b/>
                <w:sz w:val="16"/>
                <w:szCs w:val="16"/>
              </w:rPr>
              <w:tab/>
            </w:r>
            <w:r w:rsidRPr="00837D4A">
              <w:rPr>
                <w:rFonts w:ascii="Verdana" w:hAnsi="Verdana"/>
                <w:sz w:val="16"/>
                <w:szCs w:val="16"/>
              </w:rPr>
              <w:t>Sugerir la forma o modalidad de adquisición, uso, goce o afectación según las características del proyecto;</w:t>
            </w:r>
          </w:p>
        </w:tc>
        <w:tc>
          <w:tcPr>
            <w:tcW w:w="4649" w:type="dxa"/>
          </w:tcPr>
          <w:p w14:paraId="014DBF6D" w14:textId="09BD73FF"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To suggest the form or modality of acquisition, use, enjoyment or Assignment according to the characteristics of the project;</w:t>
            </w:r>
          </w:p>
        </w:tc>
      </w:tr>
      <w:tr w:rsidR="009849AC" w:rsidRPr="002C0F16" w14:paraId="63C423B7" w14:textId="1EB55DFD" w:rsidTr="00F867DE">
        <w:tc>
          <w:tcPr>
            <w:tcW w:w="4711" w:type="dxa"/>
          </w:tcPr>
          <w:p w14:paraId="79022EA3"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Sugerir la modalidad y el monto de la contraprestación con base en los avalúos que se hayan practicado para tal efecto;</w:t>
            </w:r>
          </w:p>
        </w:tc>
        <w:tc>
          <w:tcPr>
            <w:tcW w:w="4649" w:type="dxa"/>
          </w:tcPr>
          <w:p w14:paraId="2EE37EE4" w14:textId="71589AD8"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To suggest the modality and amount of the consideration based on the appraisals that have been carried out for this purpose;</w:t>
            </w:r>
          </w:p>
        </w:tc>
      </w:tr>
      <w:tr w:rsidR="009849AC" w:rsidRPr="002C0F16" w14:paraId="35EBE252" w14:textId="6887B6D9" w:rsidTr="00F867DE">
        <w:tc>
          <w:tcPr>
            <w:tcW w:w="4711" w:type="dxa"/>
          </w:tcPr>
          <w:p w14:paraId="769B1119"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Buscar que las partes alcancen una solución aceptable y voluntaria;</w:t>
            </w:r>
          </w:p>
        </w:tc>
        <w:tc>
          <w:tcPr>
            <w:tcW w:w="4649" w:type="dxa"/>
          </w:tcPr>
          <w:p w14:paraId="397E8600" w14:textId="66F5331A"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To seek that the parties reach an acceptable and voluntary solution;</w:t>
            </w:r>
          </w:p>
        </w:tc>
      </w:tr>
      <w:tr w:rsidR="009849AC" w:rsidRPr="002C0F16" w14:paraId="466AB379" w14:textId="45E78405" w:rsidTr="00F867DE">
        <w:tc>
          <w:tcPr>
            <w:tcW w:w="4711" w:type="dxa"/>
          </w:tcPr>
          <w:p w14:paraId="35562F8B"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Procurar entre las partes una mejor comunicación y futura relación, y</w:t>
            </w:r>
          </w:p>
        </w:tc>
        <w:tc>
          <w:tcPr>
            <w:tcW w:w="4649" w:type="dxa"/>
          </w:tcPr>
          <w:p w14:paraId="5DC07B5F" w14:textId="0E9413DE"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To seek better communication and future relationship between the parties, and</w:t>
            </w:r>
          </w:p>
        </w:tc>
      </w:tr>
      <w:tr w:rsidR="009849AC" w:rsidRPr="002C0F16" w14:paraId="2CAA51A0" w14:textId="3C49D742" w:rsidTr="00F867DE">
        <w:tc>
          <w:tcPr>
            <w:tcW w:w="4711" w:type="dxa"/>
          </w:tcPr>
          <w:p w14:paraId="067409D8"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Las demás que se establezcan en la Normatividad aplicable.</w:t>
            </w:r>
          </w:p>
        </w:tc>
        <w:tc>
          <w:tcPr>
            <w:tcW w:w="4649" w:type="dxa"/>
          </w:tcPr>
          <w:p w14:paraId="77D3E075" w14:textId="3B2FD064"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All others established in the applicable legislation.</w:t>
            </w:r>
          </w:p>
        </w:tc>
      </w:tr>
      <w:tr w:rsidR="009849AC" w:rsidRPr="002C0F16" w14:paraId="2CCA1CA5" w14:textId="1656CE69" w:rsidTr="00F867DE">
        <w:tc>
          <w:tcPr>
            <w:tcW w:w="4711" w:type="dxa"/>
          </w:tcPr>
          <w:p w14:paraId="1D0A3CC5"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 xml:space="preserve">Artículo 217. </w:t>
            </w:r>
            <w:r w:rsidRPr="00837D4A">
              <w:rPr>
                <w:rFonts w:ascii="Verdana" w:hAnsi="Verdana"/>
                <w:sz w:val="16"/>
                <w:szCs w:val="16"/>
              </w:rPr>
              <w:t>La Mediación a que se refiere el artículo 138, fracción II y 139 de la Ley, es admisible siempre que hayan transcurrido al menos treinta días hábiles contados a partir de la fecha de recepción del escrito señalado en el artículo 133, fracción I de la Ley, siempre que verse sobre los supuestos señalados en el artículo 214 de este reglamento.</w:t>
            </w:r>
          </w:p>
        </w:tc>
        <w:tc>
          <w:tcPr>
            <w:tcW w:w="4649" w:type="dxa"/>
          </w:tcPr>
          <w:p w14:paraId="1B3946D2" w14:textId="0A399ADE"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217. </w:t>
            </w:r>
            <w:r w:rsidRPr="00837D4A">
              <w:rPr>
                <w:rFonts w:ascii="Verdana" w:hAnsi="Verdana"/>
                <w:sz w:val="16"/>
                <w:szCs w:val="16"/>
                <w:lang w:val="en-US"/>
              </w:rPr>
              <w:t>The mediation referred to in article 138, section II and 139 of the Law, is admissible provided that at least thirty business days have elapsed from the date of receipt of the document indicated in article 133, section I of the Law, provided that it deals with the assumptions indicated in article 214 of this regulation.</w:t>
            </w:r>
          </w:p>
        </w:tc>
      </w:tr>
      <w:tr w:rsidR="009849AC" w:rsidRPr="002C0F16" w14:paraId="5104ED12" w14:textId="7F5EB45C" w:rsidTr="00F867DE">
        <w:tc>
          <w:tcPr>
            <w:tcW w:w="4711" w:type="dxa"/>
          </w:tcPr>
          <w:p w14:paraId="60B9BFEE"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sz w:val="16"/>
                <w:szCs w:val="16"/>
              </w:rPr>
              <w:t>Las personas Asignatarias, Contratistas o Permisionarias de Transporte por medio de Ductos y la persona propietaria o titular, deben externar conjuntamente su conformidad para someterse a la Mediación, para lo cual deben presentar una solicitud y señalar dicha situación e indicar en cuál de los supuestos del artículo 214 de este reglamento se encuentra, así como cumplir con lo siguiente:</w:t>
            </w:r>
          </w:p>
        </w:tc>
        <w:tc>
          <w:tcPr>
            <w:tcW w:w="4649" w:type="dxa"/>
          </w:tcPr>
          <w:p w14:paraId="6F3A37F6" w14:textId="4124A36F" w:rsidR="009849AC" w:rsidRPr="00837D4A" w:rsidRDefault="009849AC" w:rsidP="009849AC">
            <w:pPr>
              <w:pStyle w:val="Texto"/>
              <w:spacing w:line="218" w:lineRule="exact"/>
              <w:ind w:firstLine="0"/>
              <w:rPr>
                <w:rFonts w:ascii="Verdana" w:hAnsi="Verdana"/>
                <w:sz w:val="16"/>
                <w:szCs w:val="16"/>
                <w:lang w:val="en-US"/>
              </w:rPr>
            </w:pPr>
            <w:r w:rsidRPr="00837D4A">
              <w:rPr>
                <w:rFonts w:ascii="Verdana" w:hAnsi="Verdana"/>
                <w:sz w:val="16"/>
                <w:szCs w:val="16"/>
                <w:lang w:val="en-US"/>
              </w:rPr>
              <w:t>The Assignees, Contractors or Permit Holders of Transportation through Pipelines and the owner or holder, must jointly express their agreement to submit to mediation, for which they must present an application and indicate said situation and indicate in which of the assumptions of article 214 of this regulation they are, as well as comply with the following:</w:t>
            </w:r>
          </w:p>
        </w:tc>
      </w:tr>
      <w:tr w:rsidR="009849AC" w:rsidRPr="002C0F16" w14:paraId="5012DAE9" w14:textId="2781D307" w:rsidTr="00F867DE">
        <w:tc>
          <w:tcPr>
            <w:tcW w:w="4711" w:type="dxa"/>
          </w:tcPr>
          <w:p w14:paraId="45079CB0"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Entregar copia simple del escrito a que se refiere el artículo 133, fracción I de la Ley;</w:t>
            </w:r>
          </w:p>
        </w:tc>
        <w:tc>
          <w:tcPr>
            <w:tcW w:w="4649" w:type="dxa"/>
          </w:tcPr>
          <w:p w14:paraId="3A89745B" w14:textId="43C938D1"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To deliver a simple copy of the document referred to in article 133, section I of the Law;</w:t>
            </w:r>
          </w:p>
        </w:tc>
      </w:tr>
      <w:tr w:rsidR="009849AC" w:rsidRPr="002C0F16" w14:paraId="04E5E6FA" w14:textId="4641A578" w:rsidTr="00F867DE">
        <w:tc>
          <w:tcPr>
            <w:tcW w:w="4711" w:type="dxa"/>
          </w:tcPr>
          <w:p w14:paraId="7E6507B7"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En caso de haber llevado a cabo la práctica de avalúos por cualquiera de las partes, se debe agregar copia simple de estos;</w:t>
            </w:r>
          </w:p>
        </w:tc>
        <w:tc>
          <w:tcPr>
            <w:tcW w:w="4649" w:type="dxa"/>
          </w:tcPr>
          <w:p w14:paraId="5F75C156" w14:textId="1EC0D2F4"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If appraisals have been carried out by either party, a simple copy of these must be added;</w:t>
            </w:r>
          </w:p>
        </w:tc>
      </w:tr>
      <w:tr w:rsidR="009849AC" w:rsidRPr="002C0F16" w14:paraId="1D7AFAA9" w14:textId="4386EACA" w:rsidTr="00F867DE">
        <w:tc>
          <w:tcPr>
            <w:tcW w:w="4711" w:type="dxa"/>
          </w:tcPr>
          <w:p w14:paraId="02DAC317"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En caso de no haber llevado a cabo la práctica de avalúos debe de manifestarlo expresamente en su solicitud;</w:t>
            </w:r>
          </w:p>
        </w:tc>
        <w:tc>
          <w:tcPr>
            <w:tcW w:w="4649" w:type="dxa"/>
          </w:tcPr>
          <w:p w14:paraId="29EA2C76" w14:textId="270CC27F"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If appraisals have not been carried out, the valuations must be expressly stated in their application;</w:t>
            </w:r>
          </w:p>
        </w:tc>
      </w:tr>
      <w:tr w:rsidR="009849AC" w:rsidRPr="002C0F16" w14:paraId="15FF694A" w14:textId="17B885FC" w:rsidTr="00F867DE">
        <w:tc>
          <w:tcPr>
            <w:tcW w:w="4711" w:type="dxa"/>
          </w:tcPr>
          <w:p w14:paraId="11EEECCF"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En caso de que la controversia verse sobre la modalidad de contratación, señalar las razones por las cuales no hay acuerdo, y</w:t>
            </w:r>
          </w:p>
        </w:tc>
        <w:tc>
          <w:tcPr>
            <w:tcW w:w="4649" w:type="dxa"/>
          </w:tcPr>
          <w:p w14:paraId="1CF8C33B" w14:textId="7AD7028F"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In the event that the dispute relates to the contracting method, state the reasons why there is no agreement, and</w:t>
            </w:r>
          </w:p>
        </w:tc>
      </w:tr>
      <w:tr w:rsidR="009849AC" w:rsidRPr="002C0F16" w14:paraId="28CF0254" w14:textId="0E666822" w:rsidTr="00F867DE">
        <w:tc>
          <w:tcPr>
            <w:tcW w:w="4711" w:type="dxa"/>
          </w:tcPr>
          <w:p w14:paraId="0276F62E"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Manifestar el lugar en donde se propone celebrar las reuniones de Mediación, así como los datos de contacto de cada una de las partes.</w:t>
            </w:r>
          </w:p>
        </w:tc>
        <w:tc>
          <w:tcPr>
            <w:tcW w:w="4649" w:type="dxa"/>
          </w:tcPr>
          <w:p w14:paraId="09B58E96" w14:textId="7E63916D"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State the place where the mediation meetings are proposed to be held, as well as the contact information of each of the parties.</w:t>
            </w:r>
          </w:p>
        </w:tc>
      </w:tr>
      <w:tr w:rsidR="009849AC" w:rsidRPr="002C0F16" w14:paraId="127461DB" w14:textId="152BC6BE" w:rsidTr="00F867DE">
        <w:tc>
          <w:tcPr>
            <w:tcW w:w="4711" w:type="dxa"/>
          </w:tcPr>
          <w:p w14:paraId="28990C2A"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Las personas Asignatarias, Contratistas o Permisionarias de Transporte por medio de Ductos y la persona propietaria o titular, pueden acudir en primera instancia a la Secretaría de Desarrollo Agrario, Territorial y Urbano para que inicie la Mediación. Si dentro de los cuarenta días naturales siguientes a la presentación de la solicitud esta no inicia el procedimiento, pueden solicitar a la Secretaría la realización de la Mediación con el apoyo de las personas Testigos Sociales.</w:t>
            </w:r>
          </w:p>
        </w:tc>
        <w:tc>
          <w:tcPr>
            <w:tcW w:w="4649" w:type="dxa"/>
          </w:tcPr>
          <w:p w14:paraId="4B742DFB" w14:textId="1BDE01B2"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Assignees, Contractors, or Permit Holders of Pipeline Transportation, and the owner or titleholder, may first contact the Secretary of Agrarian, Territorial, and Urban Development to initiate mediation. If the procedure has not been initiated within forty calendar days of submitting the request, they may request the Secretary to conduct mediation with the support of Social Witnesses.</w:t>
            </w:r>
          </w:p>
        </w:tc>
      </w:tr>
      <w:tr w:rsidR="009849AC" w:rsidRPr="002C0F16" w14:paraId="0491E21A" w14:textId="4314D08C" w:rsidTr="00F867DE">
        <w:tc>
          <w:tcPr>
            <w:tcW w:w="4711" w:type="dxa"/>
          </w:tcPr>
          <w:p w14:paraId="15DAC3B0"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 xml:space="preserve">Para solicitar la Mediación a la Secretaría, las personas Asignatarias, Contratistas o Permisionarias de </w:t>
            </w:r>
            <w:r w:rsidRPr="00837D4A">
              <w:rPr>
                <w:rFonts w:ascii="Verdana" w:hAnsi="Verdana"/>
                <w:sz w:val="16"/>
                <w:szCs w:val="16"/>
              </w:rPr>
              <w:lastRenderedPageBreak/>
              <w:t>Transporte por medio de Ductos y la persona propietaria o titular, deben presentar, además de los requisitos señalados en el párrafo segundo de este artículo, copia simple del acuse de la solicitud que hayan presentado a la Secretaría de Desarrollo Agrario, Territorial y Urbano, a efecto de que se verifique que han transcurrido los cuarenta días naturales a que se refiere el párrafo anterior.</w:t>
            </w:r>
          </w:p>
        </w:tc>
        <w:tc>
          <w:tcPr>
            <w:tcW w:w="4649" w:type="dxa"/>
          </w:tcPr>
          <w:p w14:paraId="109166F3" w14:textId="36A4ECA2"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lastRenderedPageBreak/>
              <w:t xml:space="preserve">To request mediation from the Secretary, the Assignees, Contractors or Permit Holders of </w:t>
            </w:r>
            <w:r w:rsidRPr="00837D4A">
              <w:rPr>
                <w:rFonts w:ascii="Verdana" w:hAnsi="Verdana"/>
                <w:sz w:val="16"/>
                <w:szCs w:val="16"/>
                <w:lang w:val="en-US"/>
              </w:rPr>
              <w:lastRenderedPageBreak/>
              <w:t>Transportation by means of Pipelines and the owner or holder, must present, in addition to the requirements indicated in the second paragraph of this article, a simple copy of the acknowledgment of the request that they have submitted to the Secretary of Agrarian, Territorial and Urban Development, in order to verify that the forty calendar days referred to in the preceding paragraph have elapsed.</w:t>
            </w:r>
          </w:p>
        </w:tc>
      </w:tr>
      <w:tr w:rsidR="009849AC" w:rsidRPr="002C0F16" w14:paraId="4D03F23C" w14:textId="352734D2" w:rsidTr="00F867DE">
        <w:tc>
          <w:tcPr>
            <w:tcW w:w="4711" w:type="dxa"/>
          </w:tcPr>
          <w:p w14:paraId="6B9BA488"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lastRenderedPageBreak/>
              <w:t>Si la Secretaría no recibe la solicitud para realizar la Mediación con el apoyo de las personas Testigos Sociales, dentro de los diez días naturales siguientes al plazo a que se refiere el tercer párrafo de este artículo, se debe entender que no se ha requerido la Mediación.</w:t>
            </w:r>
          </w:p>
        </w:tc>
        <w:tc>
          <w:tcPr>
            <w:tcW w:w="4649" w:type="dxa"/>
          </w:tcPr>
          <w:p w14:paraId="3C222D23" w14:textId="29C737F7"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If the Secretary does not receive the request to conduct mediation with the support of Social Witnesses</w:t>
            </w:r>
            <w:r w:rsidRPr="00837D4A">
              <w:rPr>
                <w:rStyle w:val="FootnoteReference"/>
                <w:rFonts w:ascii="Verdana" w:hAnsi="Verdana"/>
                <w:sz w:val="16"/>
                <w:szCs w:val="16"/>
                <w:lang w:val="en-US"/>
              </w:rPr>
              <w:footnoteReference w:id="6"/>
            </w:r>
            <w:r w:rsidRPr="00837D4A">
              <w:rPr>
                <w:rFonts w:ascii="Verdana" w:hAnsi="Verdana"/>
                <w:sz w:val="16"/>
                <w:szCs w:val="16"/>
                <w:lang w:val="en-US"/>
              </w:rPr>
              <w:t xml:space="preserve"> within ten calendar days following the deadline referred to in the third paragraph of this article, it shall be understood that Mediation has not been requested.</w:t>
            </w:r>
          </w:p>
        </w:tc>
      </w:tr>
      <w:tr w:rsidR="009849AC" w:rsidRPr="002C0F16" w14:paraId="234DB306" w14:textId="062A712F" w:rsidTr="00F867DE">
        <w:tc>
          <w:tcPr>
            <w:tcW w:w="4711" w:type="dxa"/>
          </w:tcPr>
          <w:p w14:paraId="2B70D951"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218.</w:t>
            </w:r>
            <w:r w:rsidRPr="00837D4A">
              <w:rPr>
                <w:rFonts w:ascii="Verdana" w:hAnsi="Verdana"/>
                <w:sz w:val="16"/>
                <w:szCs w:val="16"/>
              </w:rPr>
              <w:t xml:space="preserve"> En caso de que las personas Asignatarias, Contratistas o Permisionarias de Transporte por medio de Ductos y la persona propietaria o titular no hayan llevado a cabo la práctica de avalúos, la Secretaría de Desarrollo Agrario, Territorial y Urbano o la Secretaría deben solicitar al Instituto que designe un perito del padrón a fin de que realice la práctica de un avalúo.</w:t>
            </w:r>
          </w:p>
        </w:tc>
        <w:tc>
          <w:tcPr>
            <w:tcW w:w="4649" w:type="dxa"/>
          </w:tcPr>
          <w:p w14:paraId="2544C6E8" w14:textId="406A545F"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218. </w:t>
            </w:r>
            <w:r w:rsidRPr="00837D4A">
              <w:rPr>
                <w:rFonts w:ascii="Verdana" w:hAnsi="Verdana"/>
                <w:sz w:val="16"/>
                <w:szCs w:val="16"/>
                <w:lang w:val="en-US"/>
              </w:rPr>
              <w:t>In the event that the Assignees, Contractors or Permit Holders of Transportation by Pipelines and the owner or titleholder have not carried out the appraisal, the Secretary of Agrarian, Territorial and Urban Development or the Secretary must request the Institute to appoint an expert from the registry in order to carry out an appraisal.</w:t>
            </w:r>
          </w:p>
        </w:tc>
      </w:tr>
      <w:tr w:rsidR="009849AC" w:rsidRPr="002C0F16" w14:paraId="16345BDC" w14:textId="5A8F79E9" w:rsidTr="00F867DE">
        <w:tc>
          <w:tcPr>
            <w:tcW w:w="4711" w:type="dxa"/>
          </w:tcPr>
          <w:p w14:paraId="76D9A24D"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En caso de que el valor de los inmuebles determinados en los avalúos a que se refiere el artículo 139, fracción II, inciso a), número 3 de la Ley, tengan una diferencia superior al quince por ciento, la Secretaría de Desarrollo Agrario, Territorial y Urbano o la Secretaría deben solicitar al Instituto o a un perito a que elabore un tercer avalúo.</w:t>
            </w:r>
          </w:p>
        </w:tc>
        <w:tc>
          <w:tcPr>
            <w:tcW w:w="4649" w:type="dxa"/>
          </w:tcPr>
          <w:p w14:paraId="4D44D25C" w14:textId="7975FE57"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In the event that the value of the properties determined in the appraisals referred to in article 139, section II, subsection a), number 3 of the Law, have a difference greater than fifteen percent, the Secretary of Agrarian, Territorial and Urban Development or the Secretary must request the Institute or an expert to prepare a third appraisal.</w:t>
            </w:r>
          </w:p>
        </w:tc>
      </w:tr>
      <w:tr w:rsidR="009849AC" w:rsidRPr="002C0F16" w14:paraId="40F78358" w14:textId="6446F0C8" w:rsidTr="00F867DE">
        <w:tc>
          <w:tcPr>
            <w:tcW w:w="4711" w:type="dxa"/>
          </w:tcPr>
          <w:p w14:paraId="71B4D25F"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Una vez que el Instituto o el perito entrega el avalúo a las personas Asignatarias, Contratistas o Permisionarias de Transporte por medio de Ductos deben informarlo a la Secretaría de Desarrollo Agrario, Territorial y Urbano o a la Secretaría, a fin de que forme parte de los documentos que deben ser analizados por las personas mediadoras o Testigos Sociales.</w:t>
            </w:r>
          </w:p>
        </w:tc>
        <w:tc>
          <w:tcPr>
            <w:tcW w:w="4649" w:type="dxa"/>
          </w:tcPr>
          <w:p w14:paraId="10900EF0" w14:textId="6E11F644"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lang w:val="en-US"/>
              </w:rPr>
              <w:t>Once the Institute or the expert delivers the appraisal to the Assignees, Contractors or Permit Holders of Transportation by Pipeline, they must inform the Secretary of Agrarian, Territorial and Urban Development or the Secretary, so that it may form part of the documents that must be analyzed by the mediators or Social Witnesses.</w:t>
            </w:r>
          </w:p>
        </w:tc>
      </w:tr>
      <w:tr w:rsidR="009849AC" w:rsidRPr="002C0F16" w14:paraId="49D09038" w14:textId="0199BE58" w:rsidTr="00F867DE">
        <w:tc>
          <w:tcPr>
            <w:tcW w:w="4711" w:type="dxa"/>
          </w:tcPr>
          <w:p w14:paraId="7276921E"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219.</w:t>
            </w:r>
            <w:r w:rsidRPr="00837D4A">
              <w:rPr>
                <w:rFonts w:ascii="Verdana" w:hAnsi="Verdana"/>
                <w:sz w:val="16"/>
                <w:szCs w:val="16"/>
              </w:rPr>
              <w:t xml:space="preserve"> Para efectos de lo previsto en el artículo 136 de la Ley, el padrón corresponde al Padrón Nacional de Peritos a cargo del Instituto, el cual se rige por la Normatividad aplicable, por lo que los interesados en formar parte de él, deben sujetarse a lo previsto por la misma.</w:t>
            </w:r>
          </w:p>
        </w:tc>
        <w:tc>
          <w:tcPr>
            <w:tcW w:w="4649" w:type="dxa"/>
          </w:tcPr>
          <w:p w14:paraId="0227EF71" w14:textId="04235617"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219. </w:t>
            </w:r>
            <w:r w:rsidRPr="00837D4A">
              <w:rPr>
                <w:rFonts w:ascii="Verdana" w:hAnsi="Verdana"/>
                <w:sz w:val="16"/>
                <w:szCs w:val="16"/>
                <w:lang w:val="en-US"/>
              </w:rPr>
              <w:t>For the purposes of Article 136 of the Law, the registry corresponds to the National Registry of Experts managed by the Institute, which is governed by the applicable legislation. Therefore, those interested in becoming part of it must comply with the provisions set forth therein.</w:t>
            </w:r>
          </w:p>
        </w:tc>
      </w:tr>
      <w:tr w:rsidR="009849AC" w:rsidRPr="002C0F16" w14:paraId="78556FA4" w14:textId="511981BE" w:rsidTr="00F867DE">
        <w:tc>
          <w:tcPr>
            <w:tcW w:w="4711" w:type="dxa"/>
          </w:tcPr>
          <w:p w14:paraId="61398FFB"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Artículo 220.</w:t>
            </w:r>
            <w:r w:rsidRPr="00837D4A">
              <w:rPr>
                <w:rFonts w:ascii="Verdana" w:hAnsi="Verdana"/>
                <w:sz w:val="16"/>
                <w:szCs w:val="16"/>
              </w:rPr>
              <w:t xml:space="preserve"> El procedimiento de Mediación se debe desarrollar conforme a las fases siguientes:</w:t>
            </w:r>
          </w:p>
        </w:tc>
        <w:tc>
          <w:tcPr>
            <w:tcW w:w="4649" w:type="dxa"/>
          </w:tcPr>
          <w:p w14:paraId="5A932422" w14:textId="22DCD655"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lang w:val="en-US"/>
              </w:rPr>
              <w:t xml:space="preserve">Article 220. </w:t>
            </w:r>
            <w:r w:rsidRPr="00837D4A">
              <w:rPr>
                <w:rFonts w:ascii="Verdana" w:hAnsi="Verdana"/>
                <w:sz w:val="16"/>
                <w:szCs w:val="16"/>
                <w:lang w:val="en-US"/>
              </w:rPr>
              <w:t>The Mediation procedure must be developed according to the following phases:</w:t>
            </w:r>
          </w:p>
        </w:tc>
      </w:tr>
      <w:tr w:rsidR="009849AC" w:rsidRPr="00D0180E" w14:paraId="67463F75" w14:textId="59DE103B" w:rsidTr="00F867DE">
        <w:tc>
          <w:tcPr>
            <w:tcW w:w="4711" w:type="dxa"/>
          </w:tcPr>
          <w:p w14:paraId="00A8D028" w14:textId="77777777" w:rsidR="009849AC" w:rsidRPr="00837D4A" w:rsidRDefault="009849AC" w:rsidP="009849AC">
            <w:pPr>
              <w:pStyle w:val="Texto"/>
              <w:spacing w:line="244" w:lineRule="exact"/>
              <w:ind w:firstLine="0"/>
              <w:rPr>
                <w:rFonts w:ascii="Verdana" w:hAnsi="Verdana"/>
                <w:b/>
                <w:sz w:val="16"/>
                <w:szCs w:val="16"/>
              </w:rPr>
            </w:pPr>
            <w:r w:rsidRPr="00837D4A">
              <w:rPr>
                <w:rFonts w:ascii="Verdana" w:hAnsi="Verdana"/>
                <w:b/>
                <w:sz w:val="16"/>
                <w:szCs w:val="16"/>
              </w:rPr>
              <w:lastRenderedPageBreak/>
              <w:t>I.</w:t>
            </w:r>
            <w:r w:rsidRPr="00837D4A">
              <w:rPr>
                <w:rFonts w:ascii="Verdana" w:hAnsi="Verdana"/>
                <w:b/>
                <w:sz w:val="16"/>
                <w:szCs w:val="16"/>
              </w:rPr>
              <w:tab/>
            </w:r>
            <w:r w:rsidRPr="00837D4A">
              <w:rPr>
                <w:rFonts w:ascii="Verdana" w:hAnsi="Verdana"/>
                <w:sz w:val="16"/>
                <w:szCs w:val="16"/>
              </w:rPr>
              <w:t>Inicial.</w:t>
            </w:r>
          </w:p>
        </w:tc>
        <w:tc>
          <w:tcPr>
            <w:tcW w:w="4649" w:type="dxa"/>
          </w:tcPr>
          <w:p w14:paraId="37218625" w14:textId="0D175086"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rPr>
              <w:t xml:space="preserve">I. </w:t>
            </w:r>
            <w:r w:rsidRPr="00837D4A">
              <w:rPr>
                <w:rFonts w:ascii="Verdana" w:hAnsi="Verdana"/>
                <w:b/>
                <w:sz w:val="16"/>
                <w:szCs w:val="16"/>
              </w:rPr>
              <w:tab/>
            </w:r>
            <w:proofErr w:type="spellStart"/>
            <w:r w:rsidRPr="00837D4A">
              <w:rPr>
                <w:rFonts w:ascii="Verdana" w:hAnsi="Verdana"/>
                <w:sz w:val="16"/>
                <w:szCs w:val="16"/>
              </w:rPr>
              <w:t>Initial</w:t>
            </w:r>
            <w:proofErr w:type="spellEnd"/>
            <w:r w:rsidRPr="00837D4A">
              <w:rPr>
                <w:rFonts w:ascii="Verdana" w:hAnsi="Verdana"/>
                <w:sz w:val="16"/>
                <w:szCs w:val="16"/>
              </w:rPr>
              <w:t>.</w:t>
            </w:r>
          </w:p>
        </w:tc>
      </w:tr>
      <w:tr w:rsidR="009849AC" w:rsidRPr="002C0F16" w14:paraId="6EDDD5A0" w14:textId="1C2403B3" w:rsidTr="00F867DE">
        <w:tc>
          <w:tcPr>
            <w:tcW w:w="4711" w:type="dxa"/>
          </w:tcPr>
          <w:p w14:paraId="0CFD5CCD"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ab/>
              <w:t>Las personas mediadoras y Testigos Sociales deben analizar la solicitud de Mediación y demás documentos que en la materia tengan la Secretaría de Desarrollo Agrario, Territorial y Urbano y la Secretaría, en un plazo máximo de cinco días hábiles, contados a partir de que les fue entregada la información.</w:t>
            </w:r>
          </w:p>
        </w:tc>
        <w:tc>
          <w:tcPr>
            <w:tcW w:w="4649" w:type="dxa"/>
          </w:tcPr>
          <w:p w14:paraId="2CAE9DBB" w14:textId="7823C6D9"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Mediators and social witnesses must review the mediation request and other relevant documents held by the Secretary of Agrarian, Territorial and Urban Development and the Secretary within a maximum of five business days from the date they receive the information.</w:t>
            </w:r>
          </w:p>
        </w:tc>
      </w:tr>
      <w:tr w:rsidR="009849AC" w:rsidRPr="002C0F16" w14:paraId="2D37AF22" w14:textId="41E5CF26" w:rsidTr="00F867DE">
        <w:tc>
          <w:tcPr>
            <w:tcW w:w="4711" w:type="dxa"/>
          </w:tcPr>
          <w:p w14:paraId="4F593AF5"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Las personas mediadoras o Testigos Sociales deben señalar día, hora y lugar para la celebración de una reunión, dentro de los diez días hábiles posteriores al plazo señalado en el párrafo anterior. En dicha reunión, se debe procurar avenir los intereses de las partes y presentar los elementos comunes y puntos de controversia, así como escuchar a las partes.</w:t>
            </w:r>
          </w:p>
        </w:tc>
        <w:tc>
          <w:tcPr>
            <w:tcW w:w="4649" w:type="dxa"/>
          </w:tcPr>
          <w:p w14:paraId="2848B1D5" w14:textId="1A2E86DF"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Mediators or Social Witnesses must set a date, time, and place for a meeting within ten business days of the deadline specified in the preceding paragraph. At this meeting, an effort must be made to reconcile the parties' interests and present common ground and points of contention, as well as to hear the parties' opinions.</w:t>
            </w:r>
          </w:p>
        </w:tc>
      </w:tr>
      <w:tr w:rsidR="009849AC" w:rsidRPr="002C0F16" w14:paraId="4600B689" w14:textId="07DB07BB" w:rsidTr="00F867DE">
        <w:tc>
          <w:tcPr>
            <w:tcW w:w="4711" w:type="dxa"/>
          </w:tcPr>
          <w:p w14:paraId="4C4674EE"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Concluida la reunión se debe levantar por triplicado un acta que contenga, por lo menos, la fecha y hora en la que se celebró, un resumen del desarrollo de esta, la fecha en que se debe llevar a cabo la siguiente fase, la cual debe ser dentro de los ocho días hábiles siguientes, así como las firmas de conformidad.</w:t>
            </w:r>
          </w:p>
        </w:tc>
        <w:tc>
          <w:tcPr>
            <w:tcW w:w="4649" w:type="dxa"/>
          </w:tcPr>
          <w:p w14:paraId="78C4521E" w14:textId="18728499"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 xml:space="preserve">Once the meeting is concluded, minutes must be kept in triplicate, containing at least the date and time of the meeting, a summary of the meeting's progress, the date on which the next phase is to be carried out, which must be within the following eight business days, and the </w:t>
            </w:r>
            <w:proofErr w:type="spellStart"/>
            <w:r w:rsidRPr="00837D4A">
              <w:rPr>
                <w:rFonts w:ascii="Verdana" w:hAnsi="Verdana"/>
                <w:sz w:val="16"/>
                <w:szCs w:val="16"/>
                <w:lang w:val="en-US"/>
              </w:rPr>
              <w:t>Signeds</w:t>
            </w:r>
            <w:proofErr w:type="spellEnd"/>
            <w:r w:rsidRPr="00837D4A">
              <w:rPr>
                <w:rFonts w:ascii="Verdana" w:hAnsi="Verdana"/>
                <w:sz w:val="16"/>
                <w:szCs w:val="16"/>
                <w:lang w:val="en-US"/>
              </w:rPr>
              <w:t xml:space="preserve"> of compliance.</w:t>
            </w:r>
          </w:p>
        </w:tc>
      </w:tr>
      <w:tr w:rsidR="009849AC" w:rsidRPr="002C0F16" w14:paraId="334F218F" w14:textId="1E8F4A27" w:rsidTr="00F867DE">
        <w:tc>
          <w:tcPr>
            <w:tcW w:w="4711" w:type="dxa"/>
          </w:tcPr>
          <w:p w14:paraId="24678B13"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Una vez que se suscriba el acta, se debe entender como concluida esta fase;</w:t>
            </w:r>
          </w:p>
        </w:tc>
        <w:tc>
          <w:tcPr>
            <w:tcW w:w="4649" w:type="dxa"/>
          </w:tcPr>
          <w:p w14:paraId="7A1C7A61" w14:textId="73476440"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Once the minutes are signed, this phase must be understood as concluded;</w:t>
            </w:r>
          </w:p>
        </w:tc>
      </w:tr>
      <w:tr w:rsidR="009849AC" w:rsidRPr="00D0180E" w14:paraId="5E1488AB" w14:textId="318FCEA1" w:rsidTr="00F867DE">
        <w:tc>
          <w:tcPr>
            <w:tcW w:w="4711" w:type="dxa"/>
          </w:tcPr>
          <w:p w14:paraId="7DC733A0"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Final.</w:t>
            </w:r>
          </w:p>
        </w:tc>
        <w:tc>
          <w:tcPr>
            <w:tcW w:w="4649" w:type="dxa"/>
          </w:tcPr>
          <w:p w14:paraId="74F6C5D6" w14:textId="14DDE097" w:rsidR="009849AC" w:rsidRPr="00837D4A" w:rsidRDefault="009849AC" w:rsidP="009849AC">
            <w:pPr>
              <w:pStyle w:val="Texto"/>
              <w:spacing w:line="244" w:lineRule="exact"/>
              <w:ind w:firstLine="0"/>
              <w:rPr>
                <w:rFonts w:ascii="Verdana" w:hAnsi="Verdana"/>
                <w:b/>
                <w:sz w:val="16"/>
                <w:szCs w:val="16"/>
                <w:lang w:val="en-US"/>
              </w:rPr>
            </w:pPr>
            <w:r w:rsidRPr="00837D4A">
              <w:rPr>
                <w:rFonts w:ascii="Verdana" w:hAnsi="Verdana"/>
                <w:b/>
                <w:sz w:val="16"/>
                <w:szCs w:val="16"/>
              </w:rPr>
              <w:t xml:space="preserve">II. </w:t>
            </w:r>
            <w:r w:rsidRPr="00837D4A">
              <w:rPr>
                <w:rFonts w:ascii="Verdana" w:hAnsi="Verdana"/>
                <w:b/>
                <w:sz w:val="16"/>
                <w:szCs w:val="16"/>
              </w:rPr>
              <w:tab/>
            </w:r>
            <w:r w:rsidRPr="00837D4A">
              <w:rPr>
                <w:rFonts w:ascii="Verdana" w:hAnsi="Verdana"/>
                <w:sz w:val="16"/>
                <w:szCs w:val="16"/>
              </w:rPr>
              <w:t>Final.</w:t>
            </w:r>
          </w:p>
        </w:tc>
      </w:tr>
      <w:tr w:rsidR="009849AC" w:rsidRPr="002C0F16" w14:paraId="300C84FC" w14:textId="3A108A4B" w:rsidTr="00F867DE">
        <w:tc>
          <w:tcPr>
            <w:tcW w:w="4711" w:type="dxa"/>
          </w:tcPr>
          <w:p w14:paraId="54CBF896" w14:textId="77777777" w:rsidR="009849AC" w:rsidRPr="00837D4A" w:rsidRDefault="009849AC" w:rsidP="009849AC">
            <w:pPr>
              <w:pStyle w:val="Texto"/>
              <w:spacing w:line="244" w:lineRule="exact"/>
              <w:ind w:firstLine="0"/>
              <w:rPr>
                <w:rFonts w:ascii="Verdana" w:hAnsi="Verdana"/>
                <w:sz w:val="16"/>
                <w:szCs w:val="16"/>
              </w:rPr>
            </w:pPr>
            <w:r w:rsidRPr="00837D4A">
              <w:rPr>
                <w:rFonts w:ascii="Verdana" w:hAnsi="Verdana"/>
                <w:sz w:val="16"/>
                <w:szCs w:val="16"/>
              </w:rPr>
              <w:tab/>
              <w:t>Las personas mediadoras o Testigos Sociales deben presentar la sugerencia de contraprestación o su modalidad de pago basada en lo avalúos que se hayan practicado durante el proceso y en su caso, la modalidad de contratación, en la que deben señalar las razones por las cuales es la forma idónea dada la naturaleza del proyecto en cuestión, y observar las bases establecidas en el artículo 139 de la Ley.</w:t>
            </w:r>
          </w:p>
        </w:tc>
        <w:tc>
          <w:tcPr>
            <w:tcW w:w="4649" w:type="dxa"/>
          </w:tcPr>
          <w:p w14:paraId="27963A49" w14:textId="65D3DCB4" w:rsidR="009849AC" w:rsidRPr="00837D4A" w:rsidRDefault="009849AC" w:rsidP="009849AC">
            <w:pPr>
              <w:pStyle w:val="Texto"/>
              <w:spacing w:line="244"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Mediators or Social Witnesses must present a suggested consideration or payment method based on the appraisals conducted during the process and, where applicable, the contracting method. They must explain why this is the most appropriate option given the nature of the project in question and must comply with the terms established in Article 139 of the Law.</w:t>
            </w:r>
          </w:p>
        </w:tc>
      </w:tr>
      <w:tr w:rsidR="009849AC" w:rsidRPr="002C0F16" w14:paraId="707972A3" w14:textId="4946D098" w:rsidTr="00F867DE">
        <w:tc>
          <w:tcPr>
            <w:tcW w:w="4711" w:type="dxa"/>
          </w:tcPr>
          <w:p w14:paraId="6B568000"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Concluida la reunión, se debe levantar por triplicado un acta que informe el resultado, el cual puede ser:</w:t>
            </w:r>
          </w:p>
        </w:tc>
        <w:tc>
          <w:tcPr>
            <w:tcW w:w="4649" w:type="dxa"/>
          </w:tcPr>
          <w:p w14:paraId="3CBD3B66" w14:textId="0896D48D" w:rsidR="009849AC" w:rsidRPr="00837D4A" w:rsidRDefault="009849AC" w:rsidP="009849AC">
            <w:pPr>
              <w:pStyle w:val="Texto"/>
              <w:spacing w:line="221"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Once the meeting is concluded, minutes must be kept in triplicate reporting the outcome, which may be:</w:t>
            </w:r>
          </w:p>
        </w:tc>
      </w:tr>
      <w:tr w:rsidR="009849AC" w:rsidRPr="002C0F16" w14:paraId="0BE97B50" w14:textId="429C8C46" w:rsidTr="00F867DE">
        <w:tc>
          <w:tcPr>
            <w:tcW w:w="4711" w:type="dxa"/>
          </w:tcPr>
          <w:p w14:paraId="7E2FD41E"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Se alcanzó un acuerdo sobre la contraprestación o su modalidad de pago y, en su caso, la modalidad de contratación, por lo que se debe proceder a la firma del contrato conforme a los lineamientos a que se refiere el artículo 133, fracción VIII de la Ley, para efectos de la validación en términos del artículo 137 de la Ley, o</w:t>
            </w:r>
          </w:p>
        </w:tc>
        <w:tc>
          <w:tcPr>
            <w:tcW w:w="4649" w:type="dxa"/>
          </w:tcPr>
          <w:p w14:paraId="0ABE3991" w14:textId="1D64DB40"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An agreement was reached on the consideration or its payment method and, where applicable, the contracting method, so the contract must be signed in accordance with the guidelines referred to in article 133, section VIII of the Law, for the purposes of validation in terms of article 137 of the Law, or</w:t>
            </w:r>
          </w:p>
        </w:tc>
      </w:tr>
      <w:tr w:rsidR="009849AC" w:rsidRPr="002C0F16" w14:paraId="1BC48988" w14:textId="3EB324E0" w:rsidTr="00F867DE">
        <w:tc>
          <w:tcPr>
            <w:tcW w:w="4711" w:type="dxa"/>
          </w:tcPr>
          <w:p w14:paraId="172C5BA5" w14:textId="77777777" w:rsidR="009849AC" w:rsidRPr="00837D4A" w:rsidRDefault="009849AC" w:rsidP="009849AC">
            <w:pPr>
              <w:pStyle w:val="Texto"/>
              <w:spacing w:line="221" w:lineRule="exact"/>
              <w:ind w:firstLine="0"/>
              <w:rPr>
                <w:rFonts w:ascii="Verdana" w:hAnsi="Verdana"/>
                <w:b/>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No</w:t>
            </w:r>
            <w:r w:rsidRPr="00837D4A">
              <w:rPr>
                <w:rFonts w:ascii="Verdana" w:hAnsi="Verdana"/>
                <w:b/>
                <w:sz w:val="16"/>
                <w:szCs w:val="16"/>
              </w:rPr>
              <w:t xml:space="preserve"> </w:t>
            </w:r>
            <w:r w:rsidRPr="00837D4A">
              <w:rPr>
                <w:rFonts w:ascii="Verdana" w:hAnsi="Verdana"/>
                <w:sz w:val="16"/>
                <w:szCs w:val="16"/>
              </w:rPr>
              <w:t>se alcanzó un acuerdo, para lo cual las personas Asignatarias, Contratistas o Permisionarias de Transporte por medio de Ductos pueden acudir ante la Secretaría de Desarrollo Agrario, Territorial y Urbano para que tramite ante la persona Titular del Ejecutivo Federal la servidumbre legal por vía administrativa.</w:t>
            </w:r>
          </w:p>
        </w:tc>
        <w:tc>
          <w:tcPr>
            <w:tcW w:w="4649" w:type="dxa"/>
          </w:tcPr>
          <w:p w14:paraId="799A7DDD" w14:textId="5B8E98C2"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An agreement was reached, for which the Assignees, Contractors or Permit Holders of Transportation by means of Pipelines can go to the Secretary of Agrarian, Territorial and Urban Development to process the legal easement before the Head of the Federal Executive through administrative means.</w:t>
            </w:r>
          </w:p>
        </w:tc>
      </w:tr>
      <w:tr w:rsidR="009849AC" w:rsidRPr="002C0F16" w14:paraId="7FEC9EBF" w14:textId="36DB74FB" w:rsidTr="00F867DE">
        <w:tc>
          <w:tcPr>
            <w:tcW w:w="4711" w:type="dxa"/>
          </w:tcPr>
          <w:p w14:paraId="5DDCEFE9"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sz w:val="16"/>
                <w:szCs w:val="16"/>
              </w:rPr>
              <w:t xml:space="preserve">Una vez que se suscriba el acta, se debe entender por hecha la sugerencia de la persona mediadora o del </w:t>
            </w:r>
            <w:r w:rsidRPr="00837D4A">
              <w:rPr>
                <w:rFonts w:ascii="Verdana" w:hAnsi="Verdana"/>
                <w:sz w:val="16"/>
                <w:szCs w:val="16"/>
              </w:rPr>
              <w:lastRenderedPageBreak/>
              <w:t>Testigo Social y se debe tener por concluido el procedimiento de Mediación.</w:t>
            </w:r>
          </w:p>
        </w:tc>
        <w:tc>
          <w:tcPr>
            <w:tcW w:w="4649" w:type="dxa"/>
          </w:tcPr>
          <w:p w14:paraId="1C239807" w14:textId="57017C70" w:rsidR="009849AC" w:rsidRPr="00837D4A" w:rsidRDefault="009849AC" w:rsidP="009849AC">
            <w:pPr>
              <w:pStyle w:val="Texto"/>
              <w:spacing w:line="221" w:lineRule="exact"/>
              <w:ind w:firstLine="0"/>
              <w:rPr>
                <w:rFonts w:ascii="Verdana" w:hAnsi="Verdana"/>
                <w:sz w:val="16"/>
                <w:szCs w:val="16"/>
                <w:lang w:val="en-US"/>
              </w:rPr>
            </w:pPr>
            <w:r w:rsidRPr="00837D4A">
              <w:rPr>
                <w:rFonts w:ascii="Verdana" w:hAnsi="Verdana"/>
                <w:sz w:val="16"/>
                <w:szCs w:val="16"/>
                <w:lang w:val="en-US"/>
              </w:rPr>
              <w:lastRenderedPageBreak/>
              <w:t xml:space="preserve">Once the minutes are signed, the suggestion of the mediator or Social Witness must be understood as </w:t>
            </w:r>
            <w:r w:rsidRPr="00837D4A">
              <w:rPr>
                <w:rFonts w:ascii="Verdana" w:hAnsi="Verdana"/>
                <w:sz w:val="16"/>
                <w:szCs w:val="16"/>
                <w:lang w:val="en-US"/>
              </w:rPr>
              <w:lastRenderedPageBreak/>
              <w:t>made and the mediation procedure must be considered concluded.</w:t>
            </w:r>
          </w:p>
        </w:tc>
      </w:tr>
      <w:tr w:rsidR="009849AC" w:rsidRPr="002C0F16" w14:paraId="2CA028B4" w14:textId="1C8C0C07" w:rsidTr="00F867DE">
        <w:tc>
          <w:tcPr>
            <w:tcW w:w="4711" w:type="dxa"/>
          </w:tcPr>
          <w:p w14:paraId="3393152D"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lastRenderedPageBreak/>
              <w:t>Artículo 221.</w:t>
            </w:r>
            <w:r w:rsidRPr="00837D4A">
              <w:rPr>
                <w:rFonts w:ascii="Verdana" w:hAnsi="Verdana"/>
                <w:sz w:val="16"/>
                <w:szCs w:val="16"/>
              </w:rPr>
              <w:t xml:space="preserve"> En caso de que las personas Asignatarias, Contratistas o Permisionarias de Transporte por medio de Ductos o la persona propietaria o titular, no asistan a alguna de las reuniones a que se refiere el artículo anterior, puede justificarse por una sola ocasión y se debe acordar nueva fecha dentro de los cinco días siguientes a la fecha originalmente establecida. En caso de una segunda inasistencia por la misma parte, se debe concluir la Mediación.</w:t>
            </w:r>
          </w:p>
        </w:tc>
        <w:tc>
          <w:tcPr>
            <w:tcW w:w="4649" w:type="dxa"/>
          </w:tcPr>
          <w:p w14:paraId="43B626F5" w14:textId="4C015829"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Article 221. </w:t>
            </w:r>
            <w:r w:rsidRPr="00837D4A">
              <w:rPr>
                <w:rFonts w:ascii="Verdana" w:hAnsi="Verdana"/>
                <w:sz w:val="16"/>
                <w:szCs w:val="16"/>
                <w:lang w:val="en-US"/>
              </w:rPr>
              <w:t>If the Assignees, Contractors, or Pipeline Transportation Permit Holders, or the owner or titleholder, fail to attend any of the meetings referred to in the preceding article, this may be justified only once, and a new date must be agreed upon within five days of the originally scheduled date. In the event of a second failure to attend by the same party, the mediation process must be concluded.</w:t>
            </w:r>
          </w:p>
        </w:tc>
      </w:tr>
      <w:tr w:rsidR="009849AC" w:rsidRPr="002C0F16" w14:paraId="0026E39F" w14:textId="3E016A9B" w:rsidTr="00F867DE">
        <w:tc>
          <w:tcPr>
            <w:tcW w:w="4711" w:type="dxa"/>
          </w:tcPr>
          <w:p w14:paraId="17465490"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Artículo 222.</w:t>
            </w:r>
            <w:r w:rsidRPr="00837D4A">
              <w:rPr>
                <w:rFonts w:ascii="Verdana" w:hAnsi="Verdana"/>
                <w:sz w:val="16"/>
                <w:szCs w:val="16"/>
              </w:rPr>
              <w:t xml:space="preserve"> Son causales de conclusión anticipada de la Mediación, las siguientes:</w:t>
            </w:r>
          </w:p>
        </w:tc>
        <w:tc>
          <w:tcPr>
            <w:tcW w:w="4649" w:type="dxa"/>
          </w:tcPr>
          <w:p w14:paraId="5763A1D6" w14:textId="4808FE51"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Article 222. </w:t>
            </w:r>
            <w:r w:rsidRPr="00837D4A">
              <w:rPr>
                <w:rFonts w:ascii="Verdana" w:hAnsi="Verdana"/>
                <w:sz w:val="16"/>
                <w:szCs w:val="16"/>
                <w:lang w:val="en-US"/>
              </w:rPr>
              <w:t>The following are grounds for early termination of mediation:</w:t>
            </w:r>
          </w:p>
        </w:tc>
      </w:tr>
      <w:tr w:rsidR="009849AC" w:rsidRPr="002C0F16" w14:paraId="11EC39B6" w14:textId="24446D4E" w:rsidTr="00F867DE">
        <w:tc>
          <w:tcPr>
            <w:tcW w:w="4711" w:type="dxa"/>
          </w:tcPr>
          <w:p w14:paraId="6EF6ECED"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Desistimiento por común acuerdo;</w:t>
            </w:r>
          </w:p>
        </w:tc>
        <w:tc>
          <w:tcPr>
            <w:tcW w:w="4649" w:type="dxa"/>
          </w:tcPr>
          <w:p w14:paraId="702205A7" w14:textId="7D1AE989"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Withdrawal by mutual agreement;</w:t>
            </w:r>
          </w:p>
        </w:tc>
      </w:tr>
      <w:tr w:rsidR="009849AC" w:rsidRPr="002C0F16" w14:paraId="683542FE" w14:textId="643FB9F9" w:rsidTr="00F867DE">
        <w:tc>
          <w:tcPr>
            <w:tcW w:w="4711" w:type="dxa"/>
          </w:tcPr>
          <w:p w14:paraId="2E6EB57D"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Por la muerte de la persona propietaria o titular del inmueble;</w:t>
            </w:r>
          </w:p>
        </w:tc>
        <w:tc>
          <w:tcPr>
            <w:tcW w:w="4649" w:type="dxa"/>
          </w:tcPr>
          <w:p w14:paraId="7BCE6B48" w14:textId="0C7E26FB"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Due to the death of the owner or holder of the property;</w:t>
            </w:r>
          </w:p>
        </w:tc>
      </w:tr>
      <w:tr w:rsidR="009849AC" w:rsidRPr="002C0F16" w14:paraId="6D723739" w14:textId="38F6A397" w:rsidTr="00F867DE">
        <w:tc>
          <w:tcPr>
            <w:tcW w:w="4711" w:type="dxa"/>
          </w:tcPr>
          <w:p w14:paraId="5E57E828"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Por imposibilidad material de continuarlo por causas sobrevenidas, y</w:t>
            </w:r>
          </w:p>
        </w:tc>
        <w:tc>
          <w:tcPr>
            <w:tcW w:w="4649" w:type="dxa"/>
          </w:tcPr>
          <w:p w14:paraId="68EEAA33" w14:textId="5EAA288C"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Due to material impossibility of continuing it due to supervening causes, and</w:t>
            </w:r>
          </w:p>
        </w:tc>
      </w:tr>
      <w:tr w:rsidR="009849AC" w:rsidRPr="002C0F16" w14:paraId="6A1B4330" w14:textId="27045845" w:rsidTr="00F867DE">
        <w:tc>
          <w:tcPr>
            <w:tcW w:w="4711" w:type="dxa"/>
          </w:tcPr>
          <w:p w14:paraId="51BD66BD" w14:textId="77777777" w:rsidR="009849AC" w:rsidRPr="00837D4A" w:rsidRDefault="009849AC" w:rsidP="009849AC">
            <w:pPr>
              <w:pStyle w:val="Texto"/>
              <w:spacing w:line="221"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Los demás casos en que proceda dar por concluido el trámite de la Mediación de conformidad con la Normatividad aplicable.</w:t>
            </w:r>
          </w:p>
        </w:tc>
        <w:tc>
          <w:tcPr>
            <w:tcW w:w="4649" w:type="dxa"/>
          </w:tcPr>
          <w:p w14:paraId="6CBB1E90" w14:textId="5F3CC321"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Other cases in which the mediation process must be concluded in accordance with the applicable legislation.</w:t>
            </w:r>
          </w:p>
        </w:tc>
      </w:tr>
      <w:tr w:rsidR="009849AC" w:rsidRPr="002C0F16" w14:paraId="5CCDF6B0" w14:textId="61906FCC" w:rsidTr="00F867DE">
        <w:tc>
          <w:tcPr>
            <w:tcW w:w="4711" w:type="dxa"/>
          </w:tcPr>
          <w:p w14:paraId="32ED832C"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Artículo 223.</w:t>
            </w:r>
            <w:r w:rsidRPr="00837D4A">
              <w:rPr>
                <w:rFonts w:ascii="Verdana" w:hAnsi="Verdana"/>
                <w:sz w:val="16"/>
                <w:szCs w:val="16"/>
              </w:rPr>
              <w:t xml:space="preserve"> Una vez concluida la Mediación, se debe proceder al pago de los honorarios que se causen por la participación de las personas Testigos Sociales conforme a la Normatividad que emita la Secretaría en dicha materia.</w:t>
            </w:r>
          </w:p>
        </w:tc>
        <w:tc>
          <w:tcPr>
            <w:tcW w:w="4649" w:type="dxa"/>
          </w:tcPr>
          <w:p w14:paraId="7D1DDE1D" w14:textId="27AA1EDE"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Article 223. </w:t>
            </w:r>
            <w:r w:rsidRPr="00837D4A">
              <w:rPr>
                <w:rFonts w:ascii="Verdana" w:hAnsi="Verdana"/>
                <w:sz w:val="16"/>
                <w:szCs w:val="16"/>
                <w:lang w:val="en-US"/>
              </w:rPr>
              <w:t>Once the mediation has concluded, the fees incurred by the participation of the Social Witnesses must be paid in accordance with the legislation issued by the Secretary on this matter.</w:t>
            </w:r>
          </w:p>
        </w:tc>
      </w:tr>
      <w:tr w:rsidR="009849AC" w:rsidRPr="002C0F16" w14:paraId="45FA2800" w14:textId="7DDF0C25" w:rsidTr="00F867DE">
        <w:tc>
          <w:tcPr>
            <w:tcW w:w="4711" w:type="dxa"/>
          </w:tcPr>
          <w:p w14:paraId="647DB79F"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sz w:val="16"/>
                <w:szCs w:val="16"/>
              </w:rPr>
              <w:t>Dentro de los treinta días hábiles siguientes a que se haya realizado el pago de honorarios a la persona Testigo Social, las personas Asignatarias, Contratistas o Permisionarias de Transporte por medio de Ductos deben acreditarlo ante la Secretaría, en caso contrario, transcurrido dicho plazo sin que se acredite el pago, la Secretaría debe iniciar el procedimiento de sanciones conforme a la Normatividad aplicable.</w:t>
            </w:r>
          </w:p>
        </w:tc>
        <w:tc>
          <w:tcPr>
            <w:tcW w:w="4649" w:type="dxa"/>
          </w:tcPr>
          <w:p w14:paraId="70E1F354" w14:textId="06B3178E" w:rsidR="009849AC" w:rsidRPr="00837D4A" w:rsidRDefault="009849AC" w:rsidP="009849AC">
            <w:pPr>
              <w:pStyle w:val="Texto"/>
              <w:spacing w:line="221" w:lineRule="exact"/>
              <w:ind w:firstLine="0"/>
              <w:rPr>
                <w:rFonts w:ascii="Verdana" w:hAnsi="Verdana"/>
                <w:sz w:val="16"/>
                <w:szCs w:val="16"/>
                <w:lang w:val="en-US"/>
              </w:rPr>
            </w:pPr>
            <w:r w:rsidRPr="00837D4A">
              <w:rPr>
                <w:rFonts w:ascii="Verdana" w:hAnsi="Verdana"/>
                <w:sz w:val="16"/>
                <w:szCs w:val="16"/>
                <w:lang w:val="en-US"/>
              </w:rPr>
              <w:t>Within thirty business days following payment of fees to the Social Witness, the Assignees, Contractors or Permit Holders of Transportation by Pipeline must prove it to the Secretary. Otherwise, if this period elapses without proof of payment, the Secretary must initiate the sanction procedure in accordance with the applicable legislation.</w:t>
            </w:r>
          </w:p>
        </w:tc>
      </w:tr>
      <w:tr w:rsidR="009849AC" w:rsidRPr="002C0F16" w14:paraId="51EAD0A9" w14:textId="2740E284" w:rsidTr="00F867DE">
        <w:tc>
          <w:tcPr>
            <w:tcW w:w="4711" w:type="dxa"/>
          </w:tcPr>
          <w:p w14:paraId="28DD6EA7"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Artículo 224.</w:t>
            </w:r>
            <w:r w:rsidRPr="00837D4A">
              <w:rPr>
                <w:rFonts w:ascii="Verdana" w:hAnsi="Verdana"/>
                <w:sz w:val="16"/>
                <w:szCs w:val="16"/>
              </w:rPr>
              <w:t xml:space="preserve"> Cuando alguna de las partes informe y acredite ante la Secretaría que la actuación de las personas Testigos Sociales no se ha desarrollado conforme a lo establecido en el artículo 215 de este reglamento, la Secretaría puede declarar nula la participación de dichas personas testigos y revocar su registro como Testigo Social de conformidad con la Normatividad que se emita para tal efecto.</w:t>
            </w:r>
          </w:p>
        </w:tc>
        <w:tc>
          <w:tcPr>
            <w:tcW w:w="4649" w:type="dxa"/>
          </w:tcPr>
          <w:p w14:paraId="7F3EA54F" w14:textId="734EE7ED"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Article 224. </w:t>
            </w:r>
            <w:r w:rsidRPr="00837D4A">
              <w:rPr>
                <w:rFonts w:ascii="Verdana" w:hAnsi="Verdana"/>
                <w:sz w:val="16"/>
                <w:szCs w:val="16"/>
                <w:lang w:val="en-US"/>
              </w:rPr>
              <w:t>When any of the parties reports and certifies to the Secretary that the performance of the Social Witnesses has not been carried out in accordance with the provisions of Article 215 of this regulation, the Secretary may declare the participation of said witnesses null and void and revoke their registration as Social Witnesses in accordance with the legislation  issued for such purpose.</w:t>
            </w:r>
          </w:p>
        </w:tc>
      </w:tr>
      <w:tr w:rsidR="009849AC" w:rsidRPr="002C0F16" w14:paraId="031EAF7A" w14:textId="2158D338" w:rsidTr="00F867DE">
        <w:tc>
          <w:tcPr>
            <w:tcW w:w="4711" w:type="dxa"/>
          </w:tcPr>
          <w:p w14:paraId="3853D4FD"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sz w:val="16"/>
                <w:szCs w:val="16"/>
              </w:rPr>
              <w:t>Las personas Testigos Sociales tienen derecho de audiencia a fin de que señalen lo que a su derecho convenga, previo a la declaración de la nulidad de su participación o revocación de su registro a que se refiere el párrafo anterior, por parte de la Secretaría.</w:t>
            </w:r>
          </w:p>
        </w:tc>
        <w:tc>
          <w:tcPr>
            <w:tcW w:w="4649" w:type="dxa"/>
          </w:tcPr>
          <w:p w14:paraId="67ABC736" w14:textId="361FB9B1" w:rsidR="009849AC" w:rsidRPr="00837D4A" w:rsidRDefault="009849AC" w:rsidP="009849AC">
            <w:pPr>
              <w:pStyle w:val="Texto"/>
              <w:spacing w:line="221" w:lineRule="exact"/>
              <w:ind w:firstLine="0"/>
              <w:rPr>
                <w:rFonts w:ascii="Verdana" w:hAnsi="Verdana"/>
                <w:sz w:val="16"/>
                <w:szCs w:val="16"/>
                <w:lang w:val="en-US"/>
              </w:rPr>
            </w:pPr>
            <w:r w:rsidRPr="00837D4A">
              <w:rPr>
                <w:rFonts w:ascii="Verdana" w:hAnsi="Verdana"/>
                <w:sz w:val="16"/>
                <w:szCs w:val="16"/>
                <w:lang w:val="en-US"/>
              </w:rPr>
              <w:t>Social Witnesses have the right to a hearing in order to state what is appropriate for their rights, prior to the declaration of the nullity of their participation or the revocation of their registration referred to in the preceding paragraph by the Secretary.</w:t>
            </w:r>
          </w:p>
        </w:tc>
      </w:tr>
      <w:tr w:rsidR="009849AC" w:rsidRPr="002C0F16" w14:paraId="399A1E0D" w14:textId="4406417A" w:rsidTr="00F867DE">
        <w:tc>
          <w:tcPr>
            <w:tcW w:w="4711" w:type="dxa"/>
          </w:tcPr>
          <w:p w14:paraId="4B3E8C53"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sz w:val="16"/>
                <w:szCs w:val="16"/>
              </w:rPr>
              <w:t>Sin detrimento de lo anterior, cualquiera de las partes o la Secretaría pueden iniciar los procedimientos correspondientes respecto a la responsabilidad civil, penal o administrativa de las personas Testigos Sociales que resulte de la aplicación de otros ordenamientos.</w:t>
            </w:r>
          </w:p>
        </w:tc>
        <w:tc>
          <w:tcPr>
            <w:tcW w:w="4649" w:type="dxa"/>
          </w:tcPr>
          <w:p w14:paraId="3F0ABD83" w14:textId="6885D84E" w:rsidR="009849AC" w:rsidRPr="00837D4A" w:rsidRDefault="009849AC" w:rsidP="009849AC">
            <w:pPr>
              <w:pStyle w:val="Texto"/>
              <w:spacing w:line="221" w:lineRule="exact"/>
              <w:ind w:firstLine="0"/>
              <w:rPr>
                <w:rFonts w:ascii="Verdana" w:hAnsi="Verdana"/>
                <w:sz w:val="16"/>
                <w:szCs w:val="16"/>
                <w:lang w:val="en-US"/>
              </w:rPr>
            </w:pPr>
            <w:r w:rsidRPr="00837D4A">
              <w:rPr>
                <w:rFonts w:ascii="Verdana" w:hAnsi="Verdana"/>
                <w:sz w:val="16"/>
                <w:szCs w:val="16"/>
                <w:lang w:val="en-US"/>
              </w:rPr>
              <w:t>Without prejudice to the foregoing, either party or the Secretary may initiate the corresponding proceedings regarding the civil, criminal or administrative liability of Social Witnesses resulting from the application of other legislation.</w:t>
            </w:r>
          </w:p>
        </w:tc>
      </w:tr>
      <w:tr w:rsidR="009849AC" w:rsidRPr="002C0F16" w14:paraId="06B58732" w14:textId="1A151C6A" w:rsidTr="00F867DE">
        <w:tc>
          <w:tcPr>
            <w:tcW w:w="4711" w:type="dxa"/>
          </w:tcPr>
          <w:p w14:paraId="687FB7A8"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lastRenderedPageBreak/>
              <w:t xml:space="preserve">Artículo 225. </w:t>
            </w:r>
            <w:r w:rsidRPr="00837D4A">
              <w:rPr>
                <w:rFonts w:ascii="Verdana" w:hAnsi="Verdana"/>
                <w:sz w:val="16"/>
                <w:szCs w:val="16"/>
              </w:rPr>
              <w:t>La solicitud que realicen las personas Asignatarias, Contratistas o Permisionarias de Transporte por medio de Ductos, a la Secretaría de Desarrollo Agrario, Territorial y Urbano en términos del artículo 140 de la Ley, se debe regir conforme a la Normatividad que para tal efecto emita la Secretaría de Desarrollo Agrario, Territorial y Urbano, los cuales deben observar además de lo previsto en el artículo 141 de la Ley, al menos lo siguiente:</w:t>
            </w:r>
          </w:p>
        </w:tc>
        <w:tc>
          <w:tcPr>
            <w:tcW w:w="4649" w:type="dxa"/>
          </w:tcPr>
          <w:p w14:paraId="36EFCF79" w14:textId="2B982C29"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Article 225. </w:t>
            </w:r>
            <w:r w:rsidRPr="00837D4A">
              <w:rPr>
                <w:rFonts w:ascii="Verdana" w:hAnsi="Verdana"/>
                <w:sz w:val="16"/>
                <w:szCs w:val="16"/>
                <w:lang w:val="en-US"/>
              </w:rPr>
              <w:t>The request made by the Assignees, Contractors or Permit Holders of Transportation by means of Pipelines, to the Secretary of Agrarian, Territorial and Urban Development in terms of article 140 of the Law, must be governed by the legislation  issued for such purpose by the Secretary of Agrarian, Territorial and Urban Development, which must observe, in addition to the provisions of article 141 of the Law, at least the following:</w:t>
            </w:r>
          </w:p>
        </w:tc>
      </w:tr>
      <w:tr w:rsidR="009849AC" w:rsidRPr="002C0F16" w14:paraId="71218633" w14:textId="28F71AF1" w:rsidTr="00F867DE">
        <w:tc>
          <w:tcPr>
            <w:tcW w:w="4711" w:type="dxa"/>
          </w:tcPr>
          <w:p w14:paraId="7D10307F" w14:textId="77777777" w:rsidR="009849AC" w:rsidRPr="00837D4A" w:rsidRDefault="009849AC" w:rsidP="009849AC">
            <w:pPr>
              <w:pStyle w:val="Texto"/>
              <w:spacing w:line="221"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En un plazo de quince días hábiles, contado a partir de la solicitud de las personas Asignatarias, Contratistas o Permisionarias de Transporte por medio de Ductos, la Secretaría de Desarrollo Agrario, Territorial y Urbano debe emitir un dictamen preliminar sobre la procedencia de decretar la servidumbre legal de Hidrocarburos, el cual debe ser notificado dentro de un plazo de cinco días hábiles a las personas Asignatarias, Contratistas o Permisionarias de Transporte por medio de Ductos y a la persona propietaria de la tierra, bien o derecho de que se trate, para que en el plazo de diez días hábiles contado a partir de la fecha de la notificación del dictamen preliminar manifiesten lo que a su derecho corresponda;</w:t>
            </w:r>
          </w:p>
        </w:tc>
        <w:tc>
          <w:tcPr>
            <w:tcW w:w="4649" w:type="dxa"/>
          </w:tcPr>
          <w:p w14:paraId="2AD15C0E" w14:textId="2541C371" w:rsidR="009849AC" w:rsidRPr="00837D4A" w:rsidRDefault="009849AC" w:rsidP="009849AC">
            <w:pPr>
              <w:pStyle w:val="Texto"/>
              <w:spacing w:line="221"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Within a period of fifteen business days, counted from the request of the Assignees, Contractors or Permit Holders of Transportation by means of Pipelines, the Secretary of Agrarian, Territorial and Urban Development must issue a preliminary opinion on the appropriateness of decreeing the legal easement of hydrocarbons, which must be notified within a period of five business days to the Assignees, Contractors or Permit Holders of Transportation by means of Pipelines and to the owner of the land, property or right in question, so that within a period of ten business days counted from the date of notification of the preliminary opinion they may state what corresponds to their right;</w:t>
            </w:r>
          </w:p>
        </w:tc>
      </w:tr>
      <w:tr w:rsidR="009849AC" w:rsidRPr="002C0F16" w14:paraId="0BBFCA09" w14:textId="3CC54A05" w:rsidTr="00F867DE">
        <w:tc>
          <w:tcPr>
            <w:tcW w:w="4711" w:type="dxa"/>
          </w:tcPr>
          <w:p w14:paraId="2E263B5A"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Mientras se substancia el procedimiento de servidumbre legal de Hidrocarburos y hasta en tanto se dicte la resolución definitiva, si las partes llegan a un acuerdo definitivo en términos de la Normatividad aplicable, la solicitud de las personas Asignatarias, Contratistas o Permisionarias de Transporte por medio de Ductos debe quedar sin efectos, y</w:t>
            </w:r>
          </w:p>
        </w:tc>
        <w:tc>
          <w:tcPr>
            <w:tcW w:w="4649" w:type="dxa"/>
          </w:tcPr>
          <w:p w14:paraId="77B57FD9" w14:textId="58F1ADF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While the legal easement procedure for hydrocarbons is being substantiated and until the final resolution is issued, if the parties reach a final agreement in terms of the applicable legislation, the request of the Assignees, Contractors or Permit Holders for Transportation by means of Pipelines must be rendered ineffective, and</w:t>
            </w:r>
          </w:p>
        </w:tc>
      </w:tr>
      <w:tr w:rsidR="009849AC" w:rsidRPr="002C0F16" w14:paraId="0AF49BE2" w14:textId="08F6A677" w:rsidTr="00F867DE">
        <w:tc>
          <w:tcPr>
            <w:tcW w:w="4711" w:type="dxa"/>
          </w:tcPr>
          <w:p w14:paraId="57B662AE"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Transcurrido el plazo para que los interesados manifiesten lo que a su derecho convenga la Secretaría de Desarrollo Agrario, Territorial y Urbano cuenta con un plazo de quince días hábiles para emitir el dictamen definitivo sobre las condiciones en que debe constituirse la servidumbre legal de Hidrocarburos por vía administrativa.</w:t>
            </w:r>
          </w:p>
        </w:tc>
        <w:tc>
          <w:tcPr>
            <w:tcW w:w="4649" w:type="dxa"/>
          </w:tcPr>
          <w:p w14:paraId="795CD5CE" w14:textId="5899C8BB"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Once the deadline for interested parties to express their opinions has elapsed, the Secretary of Agrarian, Territorial and Urban Development has fifteen business days to issue its final opinion on the conditions under which the legal Hydrocarbon easement must be established by administrative means.</w:t>
            </w:r>
          </w:p>
        </w:tc>
      </w:tr>
      <w:tr w:rsidR="009849AC" w:rsidRPr="002C0F16" w14:paraId="3BB12CB0" w14:textId="798330F9" w:rsidTr="00F867DE">
        <w:tc>
          <w:tcPr>
            <w:tcW w:w="4711" w:type="dxa"/>
          </w:tcPr>
          <w:p w14:paraId="650CEB71"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 xml:space="preserve">Artículo 226. </w:t>
            </w:r>
            <w:r w:rsidRPr="00837D4A">
              <w:rPr>
                <w:rFonts w:ascii="Verdana" w:hAnsi="Verdana"/>
                <w:sz w:val="16"/>
                <w:szCs w:val="16"/>
              </w:rPr>
              <w:t>La causal de recisión o declaración de insubsistencia a que se refiere el artículo 147, fracción II, inciso b) de la Ley, es procedente cuando el uso que se realiza en el terreno sea distinto o adicional a aquél que justificó su afectación, siempre que dicho uso no corresponda a una actividad complementaria al uso principal.</w:t>
            </w:r>
          </w:p>
        </w:tc>
        <w:tc>
          <w:tcPr>
            <w:tcW w:w="4649" w:type="dxa"/>
          </w:tcPr>
          <w:p w14:paraId="38FACB73" w14:textId="3EFE60EE"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226. </w:t>
            </w:r>
            <w:r w:rsidRPr="00837D4A">
              <w:rPr>
                <w:rFonts w:ascii="Verdana" w:hAnsi="Verdana"/>
                <w:sz w:val="16"/>
                <w:szCs w:val="16"/>
                <w:lang w:val="en-US"/>
              </w:rPr>
              <w:t>The cause for termination or declaration of non-existence referred to in article 147, section II, subsection b) of the Law, is applicable when the use made of the land is different or additional to that which justified its assignment, provided that said use does not correspond to an activity complementary to the main use.</w:t>
            </w:r>
          </w:p>
        </w:tc>
      </w:tr>
      <w:tr w:rsidR="009849AC" w:rsidRPr="00D0180E" w14:paraId="4716ABE4" w14:textId="085BD286" w:rsidTr="00F867DE">
        <w:tc>
          <w:tcPr>
            <w:tcW w:w="4711" w:type="dxa"/>
          </w:tcPr>
          <w:p w14:paraId="170C1F3A"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Capítulo IV</w:t>
            </w:r>
          </w:p>
        </w:tc>
        <w:tc>
          <w:tcPr>
            <w:tcW w:w="4649" w:type="dxa"/>
          </w:tcPr>
          <w:p w14:paraId="45A806B1" w14:textId="6F36F232" w:rsidR="009849AC" w:rsidRPr="00837D4A" w:rsidRDefault="009849AC" w:rsidP="009849AC">
            <w:pPr>
              <w:pStyle w:val="Texto"/>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IV</w:t>
            </w:r>
          </w:p>
        </w:tc>
      </w:tr>
      <w:tr w:rsidR="009849AC" w:rsidRPr="002C0F16" w14:paraId="19B87375" w14:textId="5A158DFD" w:rsidTr="00F867DE">
        <w:tc>
          <w:tcPr>
            <w:tcW w:w="4711" w:type="dxa"/>
          </w:tcPr>
          <w:p w14:paraId="4BCD3008"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De la Manifestación de Impacto Social del Sector Energético y de la Consulta Previa</w:t>
            </w:r>
          </w:p>
        </w:tc>
        <w:tc>
          <w:tcPr>
            <w:tcW w:w="4649" w:type="dxa"/>
          </w:tcPr>
          <w:p w14:paraId="07F50D03" w14:textId="3FD952EB" w:rsidR="009849AC" w:rsidRPr="00837D4A" w:rsidRDefault="009849AC" w:rsidP="009849AC">
            <w:pPr>
              <w:pStyle w:val="Texto"/>
              <w:ind w:firstLine="0"/>
              <w:jc w:val="center"/>
              <w:rPr>
                <w:rFonts w:ascii="Verdana" w:hAnsi="Verdana"/>
                <w:b/>
                <w:sz w:val="16"/>
                <w:szCs w:val="16"/>
                <w:lang w:val="en-US"/>
              </w:rPr>
            </w:pPr>
            <w:r w:rsidRPr="00837D4A">
              <w:rPr>
                <w:rFonts w:ascii="Verdana" w:hAnsi="Verdana"/>
                <w:b/>
                <w:sz w:val="16"/>
                <w:szCs w:val="16"/>
                <w:lang w:val="en-US"/>
              </w:rPr>
              <w:t>Social Impact Statement of the Energy Sector and the Prior Consultation</w:t>
            </w:r>
          </w:p>
        </w:tc>
      </w:tr>
      <w:tr w:rsidR="009849AC" w:rsidRPr="00D0180E" w14:paraId="1F2D3766" w14:textId="5F00E75B" w:rsidTr="00F867DE">
        <w:tc>
          <w:tcPr>
            <w:tcW w:w="4711" w:type="dxa"/>
          </w:tcPr>
          <w:p w14:paraId="54320D18"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Sección Primera</w:t>
            </w:r>
          </w:p>
        </w:tc>
        <w:tc>
          <w:tcPr>
            <w:tcW w:w="4649" w:type="dxa"/>
          </w:tcPr>
          <w:p w14:paraId="40B881E6" w14:textId="698258C3" w:rsidR="009849AC" w:rsidRPr="00837D4A" w:rsidRDefault="009849AC" w:rsidP="009849AC">
            <w:pPr>
              <w:pStyle w:val="Texto"/>
              <w:ind w:firstLine="0"/>
              <w:jc w:val="center"/>
              <w:rPr>
                <w:rFonts w:ascii="Verdana" w:hAnsi="Verdana"/>
                <w:b/>
                <w:sz w:val="16"/>
                <w:szCs w:val="16"/>
                <w:lang w:val="en-US"/>
              </w:rPr>
            </w:pPr>
            <w:proofErr w:type="spellStart"/>
            <w:r w:rsidRPr="00837D4A">
              <w:rPr>
                <w:rFonts w:ascii="Verdana" w:hAnsi="Verdana"/>
                <w:b/>
                <w:sz w:val="16"/>
                <w:szCs w:val="16"/>
              </w:rPr>
              <w:t>First</w:t>
            </w:r>
            <w:proofErr w:type="spellEnd"/>
            <w:r w:rsidRPr="00837D4A">
              <w:rPr>
                <w:rFonts w:ascii="Verdana" w:hAnsi="Verdana"/>
                <w:b/>
                <w:sz w:val="16"/>
                <w:szCs w:val="16"/>
              </w:rPr>
              <w:t xml:space="preserve"> </w:t>
            </w:r>
            <w:proofErr w:type="spellStart"/>
            <w:r w:rsidRPr="00837D4A">
              <w:rPr>
                <w:rFonts w:ascii="Verdana" w:hAnsi="Verdana"/>
                <w:b/>
                <w:sz w:val="16"/>
                <w:szCs w:val="16"/>
              </w:rPr>
              <w:t>Section</w:t>
            </w:r>
            <w:proofErr w:type="spellEnd"/>
          </w:p>
        </w:tc>
      </w:tr>
      <w:tr w:rsidR="009849AC" w:rsidRPr="002C0F16" w14:paraId="039AADE1" w14:textId="015C275B" w:rsidTr="00F867DE">
        <w:tc>
          <w:tcPr>
            <w:tcW w:w="4711" w:type="dxa"/>
          </w:tcPr>
          <w:p w14:paraId="24B30A31" w14:textId="77777777" w:rsidR="009849AC" w:rsidRPr="00837D4A" w:rsidRDefault="009849AC" w:rsidP="009849AC">
            <w:pPr>
              <w:pStyle w:val="Texto"/>
              <w:ind w:firstLine="0"/>
              <w:jc w:val="center"/>
              <w:rPr>
                <w:rFonts w:ascii="Verdana" w:hAnsi="Verdana"/>
                <w:b/>
                <w:sz w:val="16"/>
                <w:szCs w:val="16"/>
              </w:rPr>
            </w:pPr>
            <w:r w:rsidRPr="00837D4A">
              <w:rPr>
                <w:rFonts w:ascii="Verdana" w:hAnsi="Verdana"/>
                <w:b/>
                <w:sz w:val="16"/>
                <w:szCs w:val="16"/>
              </w:rPr>
              <w:t>Del Estudio de Impacto Social y de la Manifestación de Impacto Social del Sector Energético</w:t>
            </w:r>
          </w:p>
        </w:tc>
        <w:tc>
          <w:tcPr>
            <w:tcW w:w="4649" w:type="dxa"/>
          </w:tcPr>
          <w:p w14:paraId="475E7685" w14:textId="0F4ECDA7" w:rsidR="009849AC" w:rsidRPr="00837D4A" w:rsidRDefault="009849AC" w:rsidP="009849AC">
            <w:pPr>
              <w:pStyle w:val="Texto"/>
              <w:ind w:firstLine="0"/>
              <w:jc w:val="center"/>
              <w:rPr>
                <w:rFonts w:ascii="Verdana" w:hAnsi="Verdana"/>
                <w:b/>
                <w:sz w:val="16"/>
                <w:szCs w:val="16"/>
                <w:lang w:val="en-US"/>
              </w:rPr>
            </w:pPr>
            <w:r w:rsidRPr="00837D4A">
              <w:rPr>
                <w:rFonts w:ascii="Verdana" w:hAnsi="Verdana"/>
                <w:b/>
                <w:sz w:val="16"/>
                <w:szCs w:val="16"/>
                <w:lang w:val="en-US"/>
              </w:rPr>
              <w:t>Social Impact Study and the Social Impact Statement of the Energy Sector</w:t>
            </w:r>
          </w:p>
        </w:tc>
      </w:tr>
      <w:tr w:rsidR="009849AC" w:rsidRPr="002C0F16" w14:paraId="796053BE" w14:textId="0DF5A975" w:rsidTr="00F867DE">
        <w:tc>
          <w:tcPr>
            <w:tcW w:w="4711" w:type="dxa"/>
          </w:tcPr>
          <w:p w14:paraId="600D4D6E"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 xml:space="preserve">Artículo 227. </w:t>
            </w:r>
            <w:r w:rsidRPr="00837D4A">
              <w:rPr>
                <w:rFonts w:ascii="Verdana" w:hAnsi="Verdana"/>
                <w:sz w:val="16"/>
                <w:szCs w:val="16"/>
              </w:rPr>
              <w:t xml:space="preserve">La Secretaría debe realizar el Estudio de Impacto Social a que hace referencia el artículo 150 de la Ley, el cual es requisito para el otorgamiento de una Asignación o para la publicación de una convocatoria </w:t>
            </w:r>
            <w:r w:rsidRPr="00837D4A">
              <w:rPr>
                <w:rFonts w:ascii="Verdana" w:hAnsi="Verdana"/>
                <w:sz w:val="16"/>
                <w:szCs w:val="16"/>
              </w:rPr>
              <w:lastRenderedPageBreak/>
              <w:t>para la licitación de un Contrato para la Exploración y Extracción.</w:t>
            </w:r>
          </w:p>
        </w:tc>
        <w:tc>
          <w:tcPr>
            <w:tcW w:w="4649" w:type="dxa"/>
          </w:tcPr>
          <w:p w14:paraId="2472A3FB" w14:textId="049F949A"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lastRenderedPageBreak/>
              <w:t xml:space="preserve">Article 227. </w:t>
            </w:r>
            <w:r w:rsidRPr="00837D4A">
              <w:rPr>
                <w:rFonts w:ascii="Verdana" w:hAnsi="Verdana"/>
                <w:sz w:val="16"/>
                <w:szCs w:val="16"/>
                <w:lang w:val="en-US"/>
              </w:rPr>
              <w:t xml:space="preserve">The Secretary must conduct the Social Impact Study referred to in Article 150 of the Law, which is a requirement for granting an Assignment or </w:t>
            </w:r>
            <w:r w:rsidRPr="00837D4A">
              <w:rPr>
                <w:rFonts w:ascii="Verdana" w:hAnsi="Verdana"/>
                <w:sz w:val="16"/>
                <w:szCs w:val="16"/>
                <w:lang w:val="en-US"/>
              </w:rPr>
              <w:lastRenderedPageBreak/>
              <w:t>for publishing a call for tender for an Exploration and Extraction Contract.</w:t>
            </w:r>
          </w:p>
        </w:tc>
      </w:tr>
      <w:tr w:rsidR="009849AC" w:rsidRPr="002C0F16" w14:paraId="76BA119D" w14:textId="5D0989AE" w:rsidTr="00F867DE">
        <w:tc>
          <w:tcPr>
            <w:tcW w:w="4711" w:type="dxa"/>
          </w:tcPr>
          <w:p w14:paraId="7F79979B"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lastRenderedPageBreak/>
              <w:t>El Estudio de Impacto Social debe contener, respecto de las Áreas de Asignación o Áreas Contractuales lo siguiente:</w:t>
            </w:r>
          </w:p>
        </w:tc>
        <w:tc>
          <w:tcPr>
            <w:tcW w:w="4649" w:type="dxa"/>
          </w:tcPr>
          <w:p w14:paraId="51F3CC93" w14:textId="124CBA22"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Social Impact Study must contain, with respect to the Assignment areas or Contractual Areas, the following:</w:t>
            </w:r>
          </w:p>
        </w:tc>
      </w:tr>
      <w:tr w:rsidR="009849AC" w:rsidRPr="00D0180E" w14:paraId="2543855D" w14:textId="10FC009E" w:rsidTr="00F867DE">
        <w:tc>
          <w:tcPr>
            <w:tcW w:w="4711" w:type="dxa"/>
          </w:tcPr>
          <w:p w14:paraId="5B429B0F"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caracterización sociodemográfica;</w:t>
            </w:r>
          </w:p>
        </w:tc>
        <w:tc>
          <w:tcPr>
            <w:tcW w:w="4649" w:type="dxa"/>
          </w:tcPr>
          <w:p w14:paraId="2EB05F61" w14:textId="2169DCF7"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sociodemographic characterization;</w:t>
            </w:r>
          </w:p>
        </w:tc>
      </w:tr>
      <w:tr w:rsidR="009849AC" w:rsidRPr="002C0F16" w14:paraId="3FAE8E8E" w14:textId="3F47C5A2" w:rsidTr="00F867DE">
        <w:tc>
          <w:tcPr>
            <w:tcW w:w="4711" w:type="dxa"/>
          </w:tcPr>
          <w:p w14:paraId="2A5FFE61"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identificación de pueblos y comunidades indígenas o afromexicanas;</w:t>
            </w:r>
          </w:p>
        </w:tc>
        <w:tc>
          <w:tcPr>
            <w:tcW w:w="4649" w:type="dxa"/>
          </w:tcPr>
          <w:p w14:paraId="3F75B6F0" w14:textId="754EAB8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identification of indigenous or Afro-Mexican peoples and communities;</w:t>
            </w:r>
          </w:p>
        </w:tc>
      </w:tr>
      <w:tr w:rsidR="009849AC" w:rsidRPr="002C0F16" w14:paraId="5558A448" w14:textId="21F7DBEC" w:rsidTr="00F867DE">
        <w:tc>
          <w:tcPr>
            <w:tcW w:w="4711" w:type="dxa"/>
          </w:tcPr>
          <w:p w14:paraId="269FA3B8"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 estimación preliminar de los Impactos Sociales, y</w:t>
            </w:r>
          </w:p>
        </w:tc>
        <w:tc>
          <w:tcPr>
            <w:tcW w:w="4649" w:type="dxa"/>
          </w:tcPr>
          <w:p w14:paraId="3CBCB232" w14:textId="66170B92"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preliminary estimate of the Social Impacts, and</w:t>
            </w:r>
          </w:p>
        </w:tc>
      </w:tr>
      <w:tr w:rsidR="009849AC" w:rsidRPr="002C0F16" w14:paraId="46099367" w14:textId="2E0CEA41" w:rsidTr="00F867DE">
        <w:tc>
          <w:tcPr>
            <w:tcW w:w="4711" w:type="dxa"/>
          </w:tcPr>
          <w:p w14:paraId="44A34136"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 demás información y documentación que la Secretaría determine en la Normatividad que para tal efecto emita.</w:t>
            </w:r>
          </w:p>
        </w:tc>
        <w:tc>
          <w:tcPr>
            <w:tcW w:w="4649" w:type="dxa"/>
          </w:tcPr>
          <w:p w14:paraId="40837B08" w14:textId="7A8D2E0A"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Other information and documentation that the Secretary determines in the Regulation it issues for this purpose.</w:t>
            </w:r>
          </w:p>
        </w:tc>
      </w:tr>
      <w:tr w:rsidR="009849AC" w:rsidRPr="002C0F16" w14:paraId="61F41485" w14:textId="0F13BD52" w:rsidTr="00F867DE">
        <w:tc>
          <w:tcPr>
            <w:tcW w:w="4711" w:type="dxa"/>
          </w:tcPr>
          <w:p w14:paraId="7868A7A3"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228.</w:t>
            </w:r>
            <w:r w:rsidRPr="00837D4A">
              <w:rPr>
                <w:rFonts w:ascii="Verdana" w:hAnsi="Verdana"/>
                <w:sz w:val="16"/>
                <w:szCs w:val="16"/>
              </w:rPr>
              <w:t xml:space="preserve"> Las personas Asignatarias, Contratistas o las personas interesadas en obtener un permiso o una autorización para desarrollar proyectos de la Industria de Hidrocarburos deben presentar a la Secretaría, la Manifestación de Impacto Social del Sector Energético a que se refiere el artículo 152 de la Ley.</w:t>
            </w:r>
          </w:p>
        </w:tc>
        <w:tc>
          <w:tcPr>
            <w:tcW w:w="4649" w:type="dxa"/>
          </w:tcPr>
          <w:p w14:paraId="0352BD59" w14:textId="5CF49AA9"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228. </w:t>
            </w:r>
            <w:r w:rsidRPr="00837D4A">
              <w:rPr>
                <w:rFonts w:ascii="Verdana" w:hAnsi="Verdana"/>
                <w:sz w:val="16"/>
                <w:szCs w:val="16"/>
                <w:lang w:val="en-US"/>
              </w:rPr>
              <w:t>Assignees, Contractors or persons interested in obtaining a permit or authorization to develop Hydrocarbon Industry projects must submit to the Secretary the Social Impact Statement of the Energy Sector referred to in Article 152 of the Law.</w:t>
            </w:r>
          </w:p>
        </w:tc>
      </w:tr>
      <w:tr w:rsidR="009849AC" w:rsidRPr="002C0F16" w14:paraId="5D0D1571" w14:textId="1836A88C" w:rsidTr="00F867DE">
        <w:tc>
          <w:tcPr>
            <w:tcW w:w="4711" w:type="dxa"/>
          </w:tcPr>
          <w:p w14:paraId="6BC41957"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La Secretaría debe establecer los contenidos específicos, características y las modalidades de las Manifestaciones de Impacto Social del Sector Energético, en la Normatividad que para tal efecto emita.</w:t>
            </w:r>
          </w:p>
        </w:tc>
        <w:tc>
          <w:tcPr>
            <w:tcW w:w="4649" w:type="dxa"/>
          </w:tcPr>
          <w:p w14:paraId="03ECB298" w14:textId="1A69B215"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The Secretary must establish the specific content, characteristics, and modalities of the Social Impact Statements of the Energy Sector in the Regulation it issues for this purpose.</w:t>
            </w:r>
          </w:p>
        </w:tc>
      </w:tr>
      <w:tr w:rsidR="009849AC" w:rsidRPr="002C0F16" w14:paraId="43F59BCF" w14:textId="2A8C3063" w:rsidTr="00F867DE">
        <w:tc>
          <w:tcPr>
            <w:tcW w:w="4711" w:type="dxa"/>
          </w:tcPr>
          <w:p w14:paraId="59FC6D2F"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 xml:space="preserve">Artículo 229. </w:t>
            </w:r>
            <w:r w:rsidRPr="00837D4A">
              <w:rPr>
                <w:rFonts w:ascii="Verdana" w:hAnsi="Verdana"/>
                <w:sz w:val="16"/>
                <w:szCs w:val="16"/>
              </w:rPr>
              <w:t>La autorización definitiva de la Manifestación de Impacto Social del Sector Energético tiene validez, siempre y cuando el proyecto no sufra modificaciones sustanciales, se debe entender por estas, uno o más de los siguientes casos:</w:t>
            </w:r>
          </w:p>
        </w:tc>
        <w:tc>
          <w:tcPr>
            <w:tcW w:w="4649" w:type="dxa"/>
          </w:tcPr>
          <w:p w14:paraId="5F28FE29" w14:textId="01AD4BF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229. </w:t>
            </w:r>
            <w:r w:rsidRPr="00837D4A">
              <w:rPr>
                <w:rFonts w:ascii="Verdana" w:hAnsi="Verdana"/>
                <w:sz w:val="16"/>
                <w:szCs w:val="16"/>
                <w:lang w:val="en-US"/>
              </w:rPr>
              <w:t>The final authorization of the Social Impact Statement of the Energy Sector is valid, provided that the project does not undergo substantial modifications, which shall be understood as one or more of the following cases:</w:t>
            </w:r>
          </w:p>
        </w:tc>
      </w:tr>
      <w:tr w:rsidR="009849AC" w:rsidRPr="002C0F16" w14:paraId="52DF35F9" w14:textId="42AB4D93" w:rsidTr="00F867DE">
        <w:tc>
          <w:tcPr>
            <w:tcW w:w="4711" w:type="dxa"/>
          </w:tcPr>
          <w:p w14:paraId="40673814"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Cambio en la ubicación o el área de influencia que impliquen la identificación de nuevas localidades, o comunidades y pueblos;</w:t>
            </w:r>
          </w:p>
        </w:tc>
        <w:tc>
          <w:tcPr>
            <w:tcW w:w="4649" w:type="dxa"/>
          </w:tcPr>
          <w:p w14:paraId="40CBE2B5" w14:textId="704810CE"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Change in location or area of influence that involves the identification of new localities, or communities and towns;</w:t>
            </w:r>
          </w:p>
        </w:tc>
      </w:tr>
      <w:tr w:rsidR="009849AC" w:rsidRPr="002C0F16" w14:paraId="5858ECF7" w14:textId="68C51F94" w:rsidTr="00F867DE">
        <w:tc>
          <w:tcPr>
            <w:tcW w:w="4711" w:type="dxa"/>
          </w:tcPr>
          <w:p w14:paraId="58268213"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Cambios en el proyecto que impliquen Impactos Sociales adicionales, y</w:t>
            </w:r>
          </w:p>
        </w:tc>
        <w:tc>
          <w:tcPr>
            <w:tcW w:w="4649" w:type="dxa"/>
          </w:tcPr>
          <w:p w14:paraId="6D596B32" w14:textId="17B9930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Changes to the project that entail additional Social Impacts, and</w:t>
            </w:r>
          </w:p>
        </w:tc>
      </w:tr>
      <w:tr w:rsidR="009849AC" w:rsidRPr="002C0F16" w14:paraId="7D03F1B9" w14:textId="1A7255BA" w:rsidTr="00F867DE">
        <w:tc>
          <w:tcPr>
            <w:tcW w:w="4711" w:type="dxa"/>
          </w:tcPr>
          <w:p w14:paraId="6687A64E"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Cualquier otra que determine la Secretaría en la Normatividad aplicable.</w:t>
            </w:r>
          </w:p>
        </w:tc>
        <w:tc>
          <w:tcPr>
            <w:tcW w:w="4649" w:type="dxa"/>
          </w:tcPr>
          <w:p w14:paraId="2F4F7E16" w14:textId="68A16FA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Any other determined by the Secretary in the applicable legislation.</w:t>
            </w:r>
          </w:p>
        </w:tc>
      </w:tr>
      <w:tr w:rsidR="009849AC" w:rsidRPr="002C0F16" w14:paraId="62D08DFF" w14:textId="17A4F0B4" w:rsidTr="00F867DE">
        <w:tc>
          <w:tcPr>
            <w:tcW w:w="4711" w:type="dxa"/>
          </w:tcPr>
          <w:p w14:paraId="1B5D3BEC"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230.</w:t>
            </w:r>
            <w:r w:rsidRPr="00837D4A">
              <w:rPr>
                <w:rFonts w:ascii="Verdana" w:hAnsi="Verdana"/>
                <w:sz w:val="16"/>
                <w:szCs w:val="16"/>
              </w:rPr>
              <w:t xml:space="preserve"> Además de las excepciones de la presentación de las solicitudes de autorización señaladas en el artículo 153 de la Ley, no se requiere presentar la Manifestación de Impacto Social del Sector Energético en los casos siguientes:</w:t>
            </w:r>
          </w:p>
        </w:tc>
        <w:tc>
          <w:tcPr>
            <w:tcW w:w="4649" w:type="dxa"/>
          </w:tcPr>
          <w:p w14:paraId="2DB2F3A5" w14:textId="3FE322EA"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230. </w:t>
            </w:r>
            <w:r w:rsidRPr="00837D4A">
              <w:rPr>
                <w:rFonts w:ascii="Verdana" w:hAnsi="Verdana"/>
                <w:sz w:val="16"/>
                <w:szCs w:val="16"/>
                <w:lang w:val="en-US"/>
              </w:rPr>
              <w:t>In addition to the exceptions to the submission of authorization applications indicated in Article 153 of the Law, the submission of the Social Impact Statement for the Energy Sector is not required in the following cases:</w:t>
            </w:r>
          </w:p>
        </w:tc>
      </w:tr>
      <w:tr w:rsidR="009849AC" w:rsidRPr="002C0F16" w14:paraId="53173127" w14:textId="4539DB01" w:rsidTr="00F867DE">
        <w:tc>
          <w:tcPr>
            <w:tcW w:w="4711" w:type="dxa"/>
          </w:tcPr>
          <w:p w14:paraId="75E4517D"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persona Usuaria Final que contrate los servicios de una persona Permisionaria para la realización de sus actividades;</w:t>
            </w:r>
          </w:p>
        </w:tc>
        <w:tc>
          <w:tcPr>
            <w:tcW w:w="4649" w:type="dxa"/>
          </w:tcPr>
          <w:p w14:paraId="57939BF0" w14:textId="11B81591"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end user who contracts the services of a permit holder to carry out his or her activities;</w:t>
            </w:r>
          </w:p>
        </w:tc>
      </w:tr>
      <w:tr w:rsidR="009849AC" w:rsidRPr="002C0F16" w14:paraId="2580608D" w14:textId="54D23993" w:rsidTr="00F867DE">
        <w:tc>
          <w:tcPr>
            <w:tcW w:w="4711" w:type="dxa"/>
          </w:tcPr>
          <w:p w14:paraId="3BC5920A"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Distribución y Transporte de Hidrocarburos, Petrolíferos y Petroquímicos por medios distintos a Ductos siempre y cuando no impliquen desarrollo de infraestructura;</w:t>
            </w:r>
          </w:p>
        </w:tc>
        <w:tc>
          <w:tcPr>
            <w:tcW w:w="4649" w:type="dxa"/>
          </w:tcPr>
          <w:p w14:paraId="1FF7B21E" w14:textId="10734B83"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Distribution and transportation of hydrocarbons, petroleum products and petrochemicals by means other than pipelines as long as they do not involve infrastructure development;</w:t>
            </w:r>
          </w:p>
        </w:tc>
      </w:tr>
      <w:tr w:rsidR="009849AC" w:rsidRPr="002C0F16" w14:paraId="589FDA24" w14:textId="7C78EA15" w:rsidTr="00F867DE">
        <w:tc>
          <w:tcPr>
            <w:tcW w:w="4711" w:type="dxa"/>
          </w:tcPr>
          <w:p w14:paraId="4904CFAC"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 xml:space="preserve">Fases de Exploración de Hidrocarburos que únicamente impliquen análisis de gabinete y que consista en el procesamiento, reprocesamiento y, en su caso, interpretación de información de pozos, </w:t>
            </w:r>
            <w:r w:rsidRPr="00837D4A">
              <w:rPr>
                <w:rFonts w:ascii="Verdana" w:hAnsi="Verdana"/>
                <w:sz w:val="16"/>
                <w:szCs w:val="16"/>
              </w:rPr>
              <w:lastRenderedPageBreak/>
              <w:t>previamente adquirida, o que su adquisición se realice por métodos aéreos o por imagen satelital, y</w:t>
            </w:r>
          </w:p>
        </w:tc>
        <w:tc>
          <w:tcPr>
            <w:tcW w:w="4649" w:type="dxa"/>
          </w:tcPr>
          <w:p w14:paraId="45B928E1" w14:textId="43BAFA8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lastRenderedPageBreak/>
              <w:t xml:space="preserve">III. </w:t>
            </w:r>
            <w:r w:rsidRPr="00837D4A">
              <w:rPr>
                <w:rFonts w:ascii="Verdana" w:hAnsi="Verdana"/>
                <w:b/>
                <w:sz w:val="16"/>
                <w:szCs w:val="16"/>
                <w:lang w:val="en-US"/>
              </w:rPr>
              <w:tab/>
            </w:r>
            <w:r w:rsidRPr="00837D4A">
              <w:rPr>
                <w:rFonts w:ascii="Verdana" w:hAnsi="Verdana"/>
                <w:sz w:val="16"/>
                <w:szCs w:val="16"/>
                <w:lang w:val="en-US"/>
              </w:rPr>
              <w:t>Hydrocarbon exploration phases that only involve desk analysis and consist of the processing, reprocessing and, where appropriate, interpretation of previously acquired well information, or that is acquired by aerial methods or satellite image, and</w:t>
            </w:r>
          </w:p>
        </w:tc>
      </w:tr>
      <w:tr w:rsidR="009849AC" w:rsidRPr="002C0F16" w14:paraId="674A6417" w14:textId="6B622650" w:rsidTr="00F867DE">
        <w:tc>
          <w:tcPr>
            <w:tcW w:w="4711" w:type="dxa"/>
          </w:tcPr>
          <w:p w14:paraId="07807D0F"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Las demás que, en su caso, establezca la Normatividad que la Secretaría emita sobre la materia.</w:t>
            </w:r>
          </w:p>
        </w:tc>
        <w:tc>
          <w:tcPr>
            <w:tcW w:w="4649" w:type="dxa"/>
          </w:tcPr>
          <w:p w14:paraId="2F64BE74" w14:textId="6B2C7CDC"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Any other legislation that the Secretary issues on the matter, if applicable.</w:t>
            </w:r>
          </w:p>
        </w:tc>
      </w:tr>
      <w:tr w:rsidR="009849AC" w:rsidRPr="002C0F16" w14:paraId="7FE2C909" w14:textId="46EB377D" w:rsidTr="00F867DE">
        <w:tc>
          <w:tcPr>
            <w:tcW w:w="4711" w:type="dxa"/>
          </w:tcPr>
          <w:p w14:paraId="2BEEB6AD"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Artículo 231.</w:t>
            </w:r>
            <w:r w:rsidRPr="00837D4A">
              <w:rPr>
                <w:rFonts w:ascii="Verdana" w:hAnsi="Verdana"/>
                <w:sz w:val="16"/>
                <w:szCs w:val="16"/>
              </w:rPr>
              <w:t xml:space="preserve"> La presentación de la Manifestación de Impacto Social del Sector Energético o sus modificaciones es improcedente en los casos siguientes:</w:t>
            </w:r>
          </w:p>
        </w:tc>
        <w:tc>
          <w:tcPr>
            <w:tcW w:w="4649" w:type="dxa"/>
          </w:tcPr>
          <w:p w14:paraId="48BC9DF6" w14:textId="292B6D68"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Article 231. </w:t>
            </w:r>
            <w:r w:rsidRPr="00837D4A">
              <w:rPr>
                <w:rFonts w:ascii="Verdana" w:hAnsi="Verdana"/>
                <w:sz w:val="16"/>
                <w:szCs w:val="16"/>
                <w:lang w:val="en-US"/>
              </w:rPr>
              <w:t>The submission of the Social Impact Statement of the Energy Sector or its modifications is inadmissible in the following cases:</w:t>
            </w:r>
          </w:p>
        </w:tc>
      </w:tr>
      <w:tr w:rsidR="009849AC" w:rsidRPr="002C0F16" w14:paraId="5DA1697B" w14:textId="0704C142" w:rsidTr="00F867DE">
        <w:tc>
          <w:tcPr>
            <w:tcW w:w="4711" w:type="dxa"/>
          </w:tcPr>
          <w:p w14:paraId="3A475555" w14:textId="77777777" w:rsidR="009849AC" w:rsidRPr="00837D4A" w:rsidRDefault="009849AC" w:rsidP="009849AC">
            <w:pPr>
              <w:pStyle w:val="Texto"/>
              <w:spacing w:line="225"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Cuando se trate de las actividades exceptuadas en los supuestos establecidos en el artículo anterior, así como los señalados en el artículo 153 de la Ley y demás Normatividad que la Secretaría emita sobre la materia;</w:t>
            </w:r>
          </w:p>
        </w:tc>
        <w:tc>
          <w:tcPr>
            <w:tcW w:w="4649" w:type="dxa"/>
          </w:tcPr>
          <w:p w14:paraId="5C76C11D" w14:textId="63BD5CE5"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When it concerns activities excepted in the cases established in the preceding article, as well as those indicated in article 153 of the Law and other legislation that the Secretary issues on the matter;</w:t>
            </w:r>
          </w:p>
        </w:tc>
      </w:tr>
      <w:tr w:rsidR="009849AC" w:rsidRPr="002C0F16" w14:paraId="2103CD1E" w14:textId="52DB61F5" w:rsidTr="00F867DE">
        <w:tc>
          <w:tcPr>
            <w:tcW w:w="4711" w:type="dxa"/>
          </w:tcPr>
          <w:p w14:paraId="14587817"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Cuando exista en trámite una Manifestación de Impacto Social del Sector Energético pendiente de resolución respecto del mismo proyecto;</w:t>
            </w:r>
          </w:p>
        </w:tc>
        <w:tc>
          <w:tcPr>
            <w:tcW w:w="4649" w:type="dxa"/>
          </w:tcPr>
          <w:p w14:paraId="4549C779" w14:textId="5EEF96B0"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When there is a pending Energy Sector Social Impact Statement pending resolution regarding the same project;</w:t>
            </w:r>
          </w:p>
        </w:tc>
      </w:tr>
      <w:tr w:rsidR="009849AC" w:rsidRPr="002C0F16" w14:paraId="2FF23BCF" w14:textId="3A765422" w:rsidTr="00F867DE">
        <w:tc>
          <w:tcPr>
            <w:tcW w:w="4711" w:type="dxa"/>
          </w:tcPr>
          <w:p w14:paraId="29E0CBAC"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Cuando se haya resuelto negar la autorización de la Manifestación de Impacto Social del Sector Energético sobre el mismo proyecto y sea presentado en los mismos términos;</w:t>
            </w:r>
          </w:p>
        </w:tc>
        <w:tc>
          <w:tcPr>
            <w:tcW w:w="4649" w:type="dxa"/>
          </w:tcPr>
          <w:p w14:paraId="68867AC2" w14:textId="2874C199"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When it has been decided to deny the authorization of the Social Impact Statement of the Energy Sector on the same project and it is presented in the same terms;</w:t>
            </w:r>
          </w:p>
        </w:tc>
      </w:tr>
      <w:tr w:rsidR="009849AC" w:rsidRPr="002C0F16" w14:paraId="7B0E9BDD" w14:textId="0A205F96" w:rsidTr="00F867DE">
        <w:tc>
          <w:tcPr>
            <w:tcW w:w="4711" w:type="dxa"/>
          </w:tcPr>
          <w:p w14:paraId="7AED421F"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Cuando se trate de actualizaciones de infraestructura siempre que no haya una modificación sustancial en términos del artículo 229 de este reglamento;</w:t>
            </w:r>
          </w:p>
        </w:tc>
        <w:tc>
          <w:tcPr>
            <w:tcW w:w="4649" w:type="dxa"/>
          </w:tcPr>
          <w:p w14:paraId="16FFC1AE" w14:textId="2233C507"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When it comes to infrastructure updates, provided that there is no substantial modification in terms of Article 229 of this regulation;</w:t>
            </w:r>
          </w:p>
        </w:tc>
      </w:tr>
      <w:tr w:rsidR="009849AC" w:rsidRPr="002C0F16" w14:paraId="5FA2A180" w14:textId="6CB5EEEC" w:rsidTr="00F867DE">
        <w:tc>
          <w:tcPr>
            <w:tcW w:w="4711" w:type="dxa"/>
          </w:tcPr>
          <w:p w14:paraId="7A7E702F"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Cuando se trate de modificación o cambio de denominación del proyecto o de la razón social de las personas Asignatarias, Contratistas o de las personas interesadas en obtener un permiso o autorización, y</w:t>
            </w:r>
          </w:p>
        </w:tc>
        <w:tc>
          <w:tcPr>
            <w:tcW w:w="4649" w:type="dxa"/>
          </w:tcPr>
          <w:p w14:paraId="1A9BD537" w14:textId="16680A12"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When it involves a modification or change of name of the project or the business name of the assignees, contractors or persons interested in obtaining a permit or authorization, and</w:t>
            </w:r>
          </w:p>
        </w:tc>
      </w:tr>
      <w:tr w:rsidR="009849AC" w:rsidRPr="002C0F16" w14:paraId="7F3A9819" w14:textId="674F4DA9" w:rsidTr="00F867DE">
        <w:tc>
          <w:tcPr>
            <w:tcW w:w="4711" w:type="dxa"/>
          </w:tcPr>
          <w:p w14:paraId="7D1A9106"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Cualquier otra que se establezca en la Normatividad en la materia.</w:t>
            </w:r>
          </w:p>
        </w:tc>
        <w:tc>
          <w:tcPr>
            <w:tcW w:w="4649" w:type="dxa"/>
          </w:tcPr>
          <w:p w14:paraId="68632C73" w14:textId="49A97B6F"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Any other provisions established in the legislation on the matter.</w:t>
            </w:r>
          </w:p>
        </w:tc>
      </w:tr>
      <w:tr w:rsidR="009849AC" w:rsidRPr="002C0F16" w14:paraId="7D196DBE" w14:textId="3FAD32BC" w:rsidTr="00F867DE">
        <w:tc>
          <w:tcPr>
            <w:tcW w:w="4711" w:type="dxa"/>
          </w:tcPr>
          <w:p w14:paraId="05EA0048"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sz w:val="16"/>
                <w:szCs w:val="16"/>
              </w:rPr>
              <w:t>Cuando se trate de los supuestos previamente señalados, la Secretaría debe desechar el trámite.</w:t>
            </w:r>
          </w:p>
        </w:tc>
        <w:tc>
          <w:tcPr>
            <w:tcW w:w="4649" w:type="dxa"/>
          </w:tcPr>
          <w:p w14:paraId="728032E8" w14:textId="0292EA9B" w:rsidR="009849AC" w:rsidRPr="00837D4A" w:rsidRDefault="009849AC" w:rsidP="009849AC">
            <w:pPr>
              <w:pStyle w:val="Texto"/>
              <w:spacing w:line="225" w:lineRule="exact"/>
              <w:ind w:firstLine="0"/>
              <w:rPr>
                <w:rFonts w:ascii="Verdana" w:hAnsi="Verdana"/>
                <w:sz w:val="16"/>
                <w:szCs w:val="16"/>
                <w:lang w:val="en-US"/>
              </w:rPr>
            </w:pPr>
            <w:r w:rsidRPr="00837D4A">
              <w:rPr>
                <w:rFonts w:ascii="Verdana" w:hAnsi="Verdana"/>
                <w:sz w:val="16"/>
                <w:szCs w:val="16"/>
                <w:lang w:val="en-US"/>
              </w:rPr>
              <w:t>When the previously mentioned cases are involved, the Secretary must reject the procedure.</w:t>
            </w:r>
          </w:p>
        </w:tc>
      </w:tr>
      <w:tr w:rsidR="009849AC" w:rsidRPr="002C0F16" w14:paraId="74271A65" w14:textId="3B2DDB9A" w:rsidTr="00F867DE">
        <w:tc>
          <w:tcPr>
            <w:tcW w:w="4711" w:type="dxa"/>
          </w:tcPr>
          <w:p w14:paraId="53941CF1"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Artículo 232.</w:t>
            </w:r>
            <w:r w:rsidRPr="00837D4A">
              <w:rPr>
                <w:rFonts w:ascii="Verdana" w:hAnsi="Verdana"/>
                <w:sz w:val="16"/>
                <w:szCs w:val="16"/>
              </w:rPr>
              <w:t xml:space="preserve"> La autorización definitiva que emita la Secretaría sobre la Manifestación de Impacto Social del Sector Energético es un requisito obligatorio, y las personas Asignatarias, Contratistas, Permisionarias o Autorizadas deben obtenerla previo a que se inicie el desarrollo de la infraestructura.</w:t>
            </w:r>
          </w:p>
        </w:tc>
        <w:tc>
          <w:tcPr>
            <w:tcW w:w="4649" w:type="dxa"/>
          </w:tcPr>
          <w:p w14:paraId="694E7D62" w14:textId="0F038817"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Article 232. </w:t>
            </w:r>
            <w:r w:rsidRPr="00837D4A">
              <w:rPr>
                <w:rFonts w:ascii="Verdana" w:hAnsi="Verdana"/>
                <w:sz w:val="16"/>
                <w:szCs w:val="16"/>
                <w:lang w:val="en-US"/>
              </w:rPr>
              <w:t>The final authorization issued by the Secretary on the Social Impact Statement of the Energy Sector is a mandatory requirement, and the assignees, contractors, permit holders or authorized persons must obtain it before the development of the infrastructure begins.</w:t>
            </w:r>
          </w:p>
        </w:tc>
      </w:tr>
      <w:tr w:rsidR="009849AC" w:rsidRPr="002C0F16" w14:paraId="184A87AA" w14:textId="032CFBA9" w:rsidTr="00F867DE">
        <w:tc>
          <w:tcPr>
            <w:tcW w:w="4711" w:type="dxa"/>
          </w:tcPr>
          <w:p w14:paraId="1B2C9486"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 xml:space="preserve">Artículo 233. </w:t>
            </w:r>
            <w:r w:rsidRPr="00837D4A">
              <w:rPr>
                <w:rFonts w:ascii="Verdana" w:hAnsi="Verdana"/>
                <w:sz w:val="16"/>
                <w:szCs w:val="16"/>
              </w:rPr>
              <w:t>Además de lo señalado en el artículo 152 de la Ley, la Manifestación de Impacto Social del Sector Energético debe considerar en el formato autorizado, la estimación del costo-beneficio del proyecto la cual debe presentarse de acuerdo con la Normatividad que emita la Secretaría.</w:t>
            </w:r>
          </w:p>
        </w:tc>
        <w:tc>
          <w:tcPr>
            <w:tcW w:w="4649" w:type="dxa"/>
          </w:tcPr>
          <w:p w14:paraId="6FBF3AD0" w14:textId="21A7E09C"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Article 233. </w:t>
            </w:r>
            <w:r w:rsidRPr="00837D4A">
              <w:rPr>
                <w:rFonts w:ascii="Verdana" w:hAnsi="Verdana"/>
                <w:sz w:val="16"/>
                <w:szCs w:val="16"/>
                <w:lang w:val="en-US"/>
              </w:rPr>
              <w:t>In addition to what is stated in Article 152 of the Law, the Social Impact Statement for the Energy Sector must consider, in the authorized format, the estimate of the cost-benefit of the project, which must be presented in accordance with the Legislation issued by the Secretary.</w:t>
            </w:r>
          </w:p>
        </w:tc>
      </w:tr>
      <w:tr w:rsidR="009849AC" w:rsidRPr="002C0F16" w14:paraId="732D4ED6" w14:textId="16403527" w:rsidTr="00F867DE">
        <w:tc>
          <w:tcPr>
            <w:tcW w:w="4711" w:type="dxa"/>
          </w:tcPr>
          <w:p w14:paraId="7E4333F6"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sz w:val="16"/>
                <w:szCs w:val="16"/>
              </w:rPr>
              <w:t>La responsabilidad respecto del contenido de la Manifestación de Impacto Social del Sector Energético corresponde a las personas Asignatarias, Contratistas o las personas interesadas en obtener un permiso o una autorización.</w:t>
            </w:r>
          </w:p>
        </w:tc>
        <w:tc>
          <w:tcPr>
            <w:tcW w:w="4649" w:type="dxa"/>
          </w:tcPr>
          <w:p w14:paraId="3843DFD3" w14:textId="75A19626" w:rsidR="009849AC" w:rsidRPr="00837D4A" w:rsidRDefault="009849AC" w:rsidP="009849AC">
            <w:pPr>
              <w:pStyle w:val="Texto"/>
              <w:spacing w:line="225" w:lineRule="exact"/>
              <w:ind w:firstLine="0"/>
              <w:rPr>
                <w:rFonts w:ascii="Verdana" w:hAnsi="Verdana"/>
                <w:sz w:val="16"/>
                <w:szCs w:val="16"/>
                <w:lang w:val="en-US"/>
              </w:rPr>
            </w:pPr>
            <w:r w:rsidRPr="00837D4A">
              <w:rPr>
                <w:rFonts w:ascii="Verdana" w:hAnsi="Verdana"/>
                <w:sz w:val="16"/>
                <w:szCs w:val="16"/>
                <w:lang w:val="en-US"/>
              </w:rPr>
              <w:t>Responsibility for the content of the Energy Sector Social Impact Statement lies with the Assignees, Contractors, or individuals interested in obtaining a permit or authorization.</w:t>
            </w:r>
          </w:p>
        </w:tc>
      </w:tr>
      <w:tr w:rsidR="009849AC" w:rsidRPr="002C0F16" w14:paraId="3EE53929" w14:textId="1EEE8682" w:rsidTr="00F867DE">
        <w:tc>
          <w:tcPr>
            <w:tcW w:w="4711" w:type="dxa"/>
          </w:tcPr>
          <w:p w14:paraId="2C366C4B"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sz w:val="16"/>
                <w:szCs w:val="16"/>
              </w:rPr>
              <w:t xml:space="preserve">Las personas Asignatarias, Contratistas o las personas interesadas en obtener un permiso o una autorización, deben acreditar que se ha realizado el pago del derecho o aprovechamiento en los términos de la Normatividad </w:t>
            </w:r>
            <w:r w:rsidRPr="00837D4A">
              <w:rPr>
                <w:rFonts w:ascii="Verdana" w:hAnsi="Verdana"/>
                <w:sz w:val="16"/>
                <w:szCs w:val="16"/>
              </w:rPr>
              <w:lastRenderedPageBreak/>
              <w:t>aplicable para iniciar el trámite de la Manifestación de Impacto Social del Sector Energético.</w:t>
            </w:r>
          </w:p>
        </w:tc>
        <w:tc>
          <w:tcPr>
            <w:tcW w:w="4649" w:type="dxa"/>
          </w:tcPr>
          <w:p w14:paraId="3FAAEF6F" w14:textId="3419BB07" w:rsidR="009849AC" w:rsidRPr="00837D4A" w:rsidRDefault="009849AC" w:rsidP="009849AC">
            <w:pPr>
              <w:pStyle w:val="Texto"/>
              <w:spacing w:line="225" w:lineRule="exact"/>
              <w:ind w:firstLine="0"/>
              <w:rPr>
                <w:rFonts w:ascii="Verdana" w:hAnsi="Verdana"/>
                <w:sz w:val="16"/>
                <w:szCs w:val="16"/>
                <w:lang w:val="en-US"/>
              </w:rPr>
            </w:pPr>
            <w:r w:rsidRPr="00837D4A">
              <w:rPr>
                <w:rFonts w:ascii="Verdana" w:hAnsi="Verdana"/>
                <w:sz w:val="16"/>
                <w:szCs w:val="16"/>
                <w:lang w:val="en-US"/>
              </w:rPr>
              <w:lastRenderedPageBreak/>
              <w:t xml:space="preserve">Assignees, Contractors, or individuals interested in obtaining a permit or authorization must demonstrate that payment for the right or use has been made in </w:t>
            </w:r>
            <w:r w:rsidRPr="00837D4A">
              <w:rPr>
                <w:rFonts w:ascii="Verdana" w:hAnsi="Verdana"/>
                <w:sz w:val="16"/>
                <w:szCs w:val="16"/>
                <w:lang w:val="en-US"/>
              </w:rPr>
              <w:lastRenderedPageBreak/>
              <w:t>accordance with the applicable legislation to begin the process of the Energy Sector Social Impact Statement.</w:t>
            </w:r>
          </w:p>
        </w:tc>
      </w:tr>
      <w:tr w:rsidR="009849AC" w:rsidRPr="002C0F16" w14:paraId="6678E8FA" w14:textId="1BB056BC" w:rsidTr="00F867DE">
        <w:tc>
          <w:tcPr>
            <w:tcW w:w="4711" w:type="dxa"/>
          </w:tcPr>
          <w:p w14:paraId="7ACEB168"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sz w:val="16"/>
                <w:szCs w:val="16"/>
              </w:rPr>
              <w:lastRenderedPageBreak/>
              <w:t>Las personas Asignatarias, Contratistas o las personas interesadas en obtener un permiso o una autorización al iniciar su trámite, también deben entregar la versión pública de la Manifestación de Impacto Social del Sector Energético en la que deben expresar su conformidad para hacerla pública con fines de transparencia y acceso a la información.</w:t>
            </w:r>
          </w:p>
        </w:tc>
        <w:tc>
          <w:tcPr>
            <w:tcW w:w="4649" w:type="dxa"/>
          </w:tcPr>
          <w:p w14:paraId="56FC22DE" w14:textId="452ED919" w:rsidR="009849AC" w:rsidRPr="00837D4A" w:rsidRDefault="009849AC" w:rsidP="009849AC">
            <w:pPr>
              <w:pStyle w:val="Texto"/>
              <w:spacing w:line="225" w:lineRule="exact"/>
              <w:ind w:firstLine="0"/>
              <w:rPr>
                <w:rFonts w:ascii="Verdana" w:hAnsi="Verdana"/>
                <w:sz w:val="16"/>
                <w:szCs w:val="16"/>
                <w:lang w:val="en-US"/>
              </w:rPr>
            </w:pPr>
            <w:r w:rsidRPr="00837D4A">
              <w:rPr>
                <w:rFonts w:ascii="Verdana" w:hAnsi="Verdana"/>
                <w:sz w:val="16"/>
                <w:szCs w:val="16"/>
                <w:lang w:val="en-US"/>
              </w:rPr>
              <w:t>Assignees, Contractors, or individuals interested in obtaining a permit or authorization must also submit the public version of the Energy Sector Social Impact Statement upon initiating the process, in which they must express their agreement to make it public for transparency and access to information purposes.</w:t>
            </w:r>
          </w:p>
        </w:tc>
      </w:tr>
      <w:tr w:rsidR="009849AC" w:rsidRPr="002C0F16" w14:paraId="465AC7DB" w14:textId="21D27DCF" w:rsidTr="00F867DE">
        <w:tc>
          <w:tcPr>
            <w:tcW w:w="4711" w:type="dxa"/>
          </w:tcPr>
          <w:p w14:paraId="478EA4F3"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sz w:val="16"/>
                <w:szCs w:val="16"/>
              </w:rPr>
              <w:t>La versión pública se debe poner a disposición y consulta de cualquier persona a través de los medios que la Secretaría establezca.</w:t>
            </w:r>
          </w:p>
        </w:tc>
        <w:tc>
          <w:tcPr>
            <w:tcW w:w="4649" w:type="dxa"/>
          </w:tcPr>
          <w:p w14:paraId="23313BE7" w14:textId="22716508" w:rsidR="009849AC" w:rsidRPr="00837D4A" w:rsidRDefault="009849AC" w:rsidP="009849AC">
            <w:pPr>
              <w:pStyle w:val="Texto"/>
              <w:spacing w:line="225" w:lineRule="exact"/>
              <w:ind w:firstLine="0"/>
              <w:rPr>
                <w:rFonts w:ascii="Verdana" w:hAnsi="Verdana"/>
                <w:sz w:val="16"/>
                <w:szCs w:val="16"/>
                <w:lang w:val="en-US"/>
              </w:rPr>
            </w:pPr>
            <w:r w:rsidRPr="00837D4A">
              <w:rPr>
                <w:rFonts w:ascii="Verdana" w:hAnsi="Verdana"/>
                <w:sz w:val="16"/>
                <w:szCs w:val="16"/>
                <w:lang w:val="en-US"/>
              </w:rPr>
              <w:t>The public version must be made available and accessible to anyone through the means established by the Secretary.</w:t>
            </w:r>
          </w:p>
        </w:tc>
      </w:tr>
      <w:tr w:rsidR="009849AC" w:rsidRPr="002C0F16" w14:paraId="7F68A027" w14:textId="32D3CE42" w:rsidTr="00F867DE">
        <w:tc>
          <w:tcPr>
            <w:tcW w:w="4711" w:type="dxa"/>
          </w:tcPr>
          <w:p w14:paraId="23B204A3"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Artículo 234.</w:t>
            </w:r>
            <w:r w:rsidRPr="00837D4A">
              <w:rPr>
                <w:rFonts w:ascii="Verdana" w:hAnsi="Verdana"/>
                <w:sz w:val="16"/>
                <w:szCs w:val="16"/>
              </w:rPr>
              <w:t xml:space="preserve"> El Plan de Gestión Social del proyecto debe incorporar, al menos:</w:t>
            </w:r>
          </w:p>
        </w:tc>
        <w:tc>
          <w:tcPr>
            <w:tcW w:w="4649" w:type="dxa"/>
          </w:tcPr>
          <w:p w14:paraId="029C7C71" w14:textId="34017CB6"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Article 234. </w:t>
            </w:r>
            <w:r w:rsidRPr="00837D4A">
              <w:rPr>
                <w:rFonts w:ascii="Verdana" w:hAnsi="Verdana"/>
                <w:sz w:val="16"/>
                <w:szCs w:val="16"/>
                <w:lang w:val="en-US"/>
              </w:rPr>
              <w:t>The Social Management Plan of the project must incorporate, at least:</w:t>
            </w:r>
          </w:p>
        </w:tc>
      </w:tr>
      <w:tr w:rsidR="009849AC" w:rsidRPr="002C0F16" w14:paraId="61DC4231" w14:textId="485EB2F2" w:rsidTr="00F867DE">
        <w:tc>
          <w:tcPr>
            <w:tcW w:w="4711" w:type="dxa"/>
          </w:tcPr>
          <w:p w14:paraId="6BD4E82F"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Estrategia de implementación de las medidas de prevención, mitigación, remediación, compensación y ampliación de los Impactos Sociales;</w:t>
            </w:r>
          </w:p>
        </w:tc>
        <w:tc>
          <w:tcPr>
            <w:tcW w:w="4649" w:type="dxa"/>
          </w:tcPr>
          <w:p w14:paraId="7403DB16" w14:textId="381A2656"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Strategy for implementing measures for the prevention, mitigation, remediation, compensation and expansion of Social Impacts;</w:t>
            </w:r>
          </w:p>
        </w:tc>
      </w:tr>
      <w:tr w:rsidR="009849AC" w:rsidRPr="002C0F16" w14:paraId="2392EB6C" w14:textId="52F8BE6C" w:rsidTr="00F867DE">
        <w:tc>
          <w:tcPr>
            <w:tcW w:w="4711" w:type="dxa"/>
          </w:tcPr>
          <w:p w14:paraId="59E43A06"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Estrategia de comunicación y vinculación con las poblaciones ubicadas en el área de influencia y otros actores, que incluya sistemas o mecanismos de atención de quejas, y</w:t>
            </w:r>
          </w:p>
        </w:tc>
        <w:tc>
          <w:tcPr>
            <w:tcW w:w="4649" w:type="dxa"/>
          </w:tcPr>
          <w:p w14:paraId="2BAE1093" w14:textId="5E3D9160"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Communication and outreach strategy with the populations located in the area of influence and other actors, which includes complaint handling systems or mechanisms, and</w:t>
            </w:r>
          </w:p>
        </w:tc>
      </w:tr>
      <w:tr w:rsidR="009849AC" w:rsidRPr="002C0F16" w14:paraId="7B225CBB" w14:textId="4FBE9AFD" w:rsidTr="00F867DE">
        <w:tc>
          <w:tcPr>
            <w:tcW w:w="4711" w:type="dxa"/>
          </w:tcPr>
          <w:p w14:paraId="565E4FA5" w14:textId="77777777" w:rsidR="009849AC" w:rsidRPr="00837D4A" w:rsidRDefault="009849AC" w:rsidP="009849AC">
            <w:pPr>
              <w:pStyle w:val="Texto"/>
              <w:spacing w:line="225"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Las demás que en su caso se señalen en la Normatividad en materia de Impacto Social que al efecto emita la Secretaría.</w:t>
            </w:r>
          </w:p>
        </w:tc>
        <w:tc>
          <w:tcPr>
            <w:tcW w:w="4649" w:type="dxa"/>
          </w:tcPr>
          <w:p w14:paraId="5E4CAF9B" w14:textId="323823AE"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Any other matters that may be indicated in the legislation on Social Impact issued by the Secretary for this purpose.</w:t>
            </w:r>
          </w:p>
        </w:tc>
      </w:tr>
      <w:tr w:rsidR="009849AC" w:rsidRPr="002C0F16" w14:paraId="3FCEF9F2" w14:textId="3EF9A307" w:rsidTr="00F867DE">
        <w:tc>
          <w:tcPr>
            <w:tcW w:w="4711" w:type="dxa"/>
          </w:tcPr>
          <w:p w14:paraId="704C726F"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Artículo 235.</w:t>
            </w:r>
            <w:r w:rsidRPr="00837D4A">
              <w:rPr>
                <w:rFonts w:ascii="Verdana" w:hAnsi="Verdana"/>
                <w:sz w:val="16"/>
                <w:szCs w:val="16"/>
              </w:rPr>
              <w:t xml:space="preserve"> Además de lo indicado en el artículo anterior, para las obras y actividades que, por sus dimensiones e impacto, así lo prevea la Normatividad sobre la Manifestación de Impacto Social del Sector Energético, el Plan de Gestión Social debe incorporar:</w:t>
            </w:r>
          </w:p>
        </w:tc>
        <w:tc>
          <w:tcPr>
            <w:tcW w:w="4649" w:type="dxa"/>
          </w:tcPr>
          <w:p w14:paraId="09F01598" w14:textId="38D3800B"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Article 235. </w:t>
            </w:r>
            <w:r w:rsidRPr="00837D4A">
              <w:rPr>
                <w:rFonts w:ascii="Verdana" w:hAnsi="Verdana"/>
                <w:sz w:val="16"/>
                <w:szCs w:val="16"/>
                <w:lang w:val="en-US"/>
              </w:rPr>
              <w:t>In addition to what is indicated in the preceding article, for works and activities that, due to their size and impact, are so provided for in the legislation on the Social Impact Statement of the Energy Sector, the Social Management Plan must incorporate:</w:t>
            </w:r>
          </w:p>
        </w:tc>
      </w:tr>
      <w:tr w:rsidR="009849AC" w:rsidRPr="002C0F16" w14:paraId="732A58DA" w14:textId="5A7917B9" w:rsidTr="00F867DE">
        <w:tc>
          <w:tcPr>
            <w:tcW w:w="4711" w:type="dxa"/>
          </w:tcPr>
          <w:p w14:paraId="025788DE"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Plan de abandono, cierre o desmantelamiento con las medidas de carácter social;</w:t>
            </w:r>
          </w:p>
        </w:tc>
        <w:tc>
          <w:tcPr>
            <w:tcW w:w="4649" w:type="dxa"/>
          </w:tcPr>
          <w:p w14:paraId="728FF430" w14:textId="7562AC1D"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Abandonment, closure or dismantling plan with social measures;</w:t>
            </w:r>
          </w:p>
        </w:tc>
      </w:tr>
      <w:tr w:rsidR="009849AC" w:rsidRPr="002C0F16" w14:paraId="1A439D9C" w14:textId="1797C96E" w:rsidTr="00F867DE">
        <w:tc>
          <w:tcPr>
            <w:tcW w:w="4711" w:type="dxa"/>
          </w:tcPr>
          <w:p w14:paraId="3A9FA9D8"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En su caso, plan de reasentamiento;</w:t>
            </w:r>
          </w:p>
        </w:tc>
        <w:tc>
          <w:tcPr>
            <w:tcW w:w="4649" w:type="dxa"/>
          </w:tcPr>
          <w:p w14:paraId="35173B55" w14:textId="6571D8B5"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If applicable, resettlement plan;</w:t>
            </w:r>
          </w:p>
        </w:tc>
      </w:tr>
      <w:tr w:rsidR="009849AC" w:rsidRPr="002C0F16" w14:paraId="02190A78" w14:textId="574BF276" w:rsidTr="00F867DE">
        <w:tc>
          <w:tcPr>
            <w:tcW w:w="4711" w:type="dxa"/>
          </w:tcPr>
          <w:p w14:paraId="2F0230DB"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Indicadores de seguimiento del Plan de Gestión Social;</w:t>
            </w:r>
          </w:p>
        </w:tc>
        <w:tc>
          <w:tcPr>
            <w:tcW w:w="4649" w:type="dxa"/>
          </w:tcPr>
          <w:p w14:paraId="17A176C1" w14:textId="5B93817A"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Indicators for monitoring the Social Management Plan;</w:t>
            </w:r>
          </w:p>
        </w:tc>
      </w:tr>
      <w:tr w:rsidR="009849AC" w:rsidRPr="002C0F16" w14:paraId="19B5E2AD" w14:textId="28559472" w:rsidTr="00F867DE">
        <w:tc>
          <w:tcPr>
            <w:tcW w:w="4711" w:type="dxa"/>
          </w:tcPr>
          <w:p w14:paraId="15B346F5" w14:textId="77777777" w:rsidR="009849AC" w:rsidRPr="00837D4A" w:rsidRDefault="009849AC" w:rsidP="009849AC">
            <w:pPr>
              <w:pStyle w:val="Texto"/>
              <w:spacing w:line="225"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Estrategia de Beneficios Sociales Compartidos, y</w:t>
            </w:r>
          </w:p>
        </w:tc>
        <w:tc>
          <w:tcPr>
            <w:tcW w:w="4649" w:type="dxa"/>
          </w:tcPr>
          <w:p w14:paraId="762C9414" w14:textId="44DB0A79"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Shared Social Benefits Strategy, and</w:t>
            </w:r>
          </w:p>
        </w:tc>
      </w:tr>
      <w:tr w:rsidR="009849AC" w:rsidRPr="002C0F16" w14:paraId="4A0E0DE0" w14:textId="2739CC16" w:rsidTr="00F867DE">
        <w:tc>
          <w:tcPr>
            <w:tcW w:w="4711" w:type="dxa"/>
          </w:tcPr>
          <w:p w14:paraId="71C5BDC4" w14:textId="77777777" w:rsidR="009849AC" w:rsidRPr="00837D4A" w:rsidRDefault="009849AC" w:rsidP="009849AC">
            <w:pPr>
              <w:pStyle w:val="Texto"/>
              <w:spacing w:line="225"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El monto de inversión total anual estimado del Plan de Gestión Social.</w:t>
            </w:r>
          </w:p>
        </w:tc>
        <w:tc>
          <w:tcPr>
            <w:tcW w:w="4649" w:type="dxa"/>
          </w:tcPr>
          <w:p w14:paraId="6F57358A" w14:textId="222DA60A" w:rsidR="009849AC" w:rsidRPr="00837D4A" w:rsidRDefault="009849AC" w:rsidP="009849AC">
            <w:pPr>
              <w:pStyle w:val="Texto"/>
              <w:spacing w:line="225"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estimated total annual investment amount of the Social Management Plan.</w:t>
            </w:r>
          </w:p>
        </w:tc>
      </w:tr>
      <w:tr w:rsidR="009849AC" w:rsidRPr="002C0F16" w14:paraId="16BA208D" w14:textId="7FADEF42" w:rsidTr="00F867DE">
        <w:tc>
          <w:tcPr>
            <w:tcW w:w="4711" w:type="dxa"/>
          </w:tcPr>
          <w:p w14:paraId="1837260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236. </w:t>
            </w:r>
            <w:r w:rsidRPr="00837D4A">
              <w:rPr>
                <w:rFonts w:ascii="Verdana" w:hAnsi="Verdana"/>
                <w:sz w:val="16"/>
                <w:szCs w:val="16"/>
              </w:rPr>
              <w:t>El monto de inversión total del Plan de Gestión Social debe actualizarse anualmente y considerar para su definición al menos, la suma de los siguientes elementos:</w:t>
            </w:r>
          </w:p>
        </w:tc>
        <w:tc>
          <w:tcPr>
            <w:tcW w:w="4649" w:type="dxa"/>
          </w:tcPr>
          <w:p w14:paraId="4EC0A831" w14:textId="4C479E8E"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236. </w:t>
            </w:r>
            <w:r w:rsidRPr="00837D4A">
              <w:rPr>
                <w:rFonts w:ascii="Verdana" w:hAnsi="Verdana"/>
                <w:sz w:val="16"/>
                <w:szCs w:val="16"/>
                <w:lang w:val="en-US"/>
              </w:rPr>
              <w:t>The total investment amount of the Social Management Plan must be updated annually and, for its definition, consider at least the sum of the following elements:</w:t>
            </w:r>
          </w:p>
        </w:tc>
      </w:tr>
      <w:tr w:rsidR="009849AC" w:rsidRPr="002C0F16" w14:paraId="20086D8B" w14:textId="50014B52" w:rsidTr="00F867DE">
        <w:tc>
          <w:tcPr>
            <w:tcW w:w="4711" w:type="dxa"/>
          </w:tcPr>
          <w:p w14:paraId="7D7F846E"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El monto de inversión para la implementación de las medidas de prevención, mitigación, remediación, compensación y ampliación de los Impactos Sociales;</w:t>
            </w:r>
          </w:p>
        </w:tc>
        <w:tc>
          <w:tcPr>
            <w:tcW w:w="4649" w:type="dxa"/>
          </w:tcPr>
          <w:p w14:paraId="5CB37BBA" w14:textId="729A8E0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amount of investment for the implementation of measures for the prevention, mitigation, remediation, compensation and expansion of Social Impacts;</w:t>
            </w:r>
          </w:p>
        </w:tc>
      </w:tr>
      <w:tr w:rsidR="009849AC" w:rsidRPr="002C0F16" w14:paraId="24F925AE" w14:textId="6C9E80D5" w:rsidTr="00F867DE">
        <w:tc>
          <w:tcPr>
            <w:tcW w:w="4711" w:type="dxa"/>
          </w:tcPr>
          <w:p w14:paraId="7E5F317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El monto de inversión para la implementación de la Estrategia de Beneficios Sociales Compartidos;</w:t>
            </w:r>
          </w:p>
        </w:tc>
        <w:tc>
          <w:tcPr>
            <w:tcW w:w="4649" w:type="dxa"/>
          </w:tcPr>
          <w:p w14:paraId="17C16BA9" w14:textId="2E4726E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amount of investment for the implementation of the Shared Social Benefits Strategy;</w:t>
            </w:r>
          </w:p>
        </w:tc>
      </w:tr>
      <w:tr w:rsidR="009849AC" w:rsidRPr="002C0F16" w14:paraId="4EA114D0" w14:textId="724BE4AB" w:rsidTr="00F867DE">
        <w:tc>
          <w:tcPr>
            <w:tcW w:w="4711" w:type="dxa"/>
          </w:tcPr>
          <w:p w14:paraId="0527457A"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El monto de inversión para la implementación de cualquier otra de las acciones definidas en los artículos 234 y 235, fracciones I a IV de este reglamento;</w:t>
            </w:r>
          </w:p>
        </w:tc>
        <w:tc>
          <w:tcPr>
            <w:tcW w:w="4649" w:type="dxa"/>
          </w:tcPr>
          <w:p w14:paraId="64906FC0" w14:textId="7AABC0FB"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investment amount for the implementation of any other of the actions defined in articles 234 and 235, sections I to IV of this regulation;</w:t>
            </w:r>
          </w:p>
        </w:tc>
      </w:tr>
      <w:tr w:rsidR="009849AC" w:rsidRPr="002C0F16" w14:paraId="185C7759" w14:textId="141C0DDE" w:rsidTr="00F867DE">
        <w:tc>
          <w:tcPr>
            <w:tcW w:w="4711" w:type="dxa"/>
          </w:tcPr>
          <w:p w14:paraId="14A851F2"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El monto destinado al cumplimiento de los acuerdos derivados de la Consulta Previa, en caso de que aplique;</w:t>
            </w:r>
          </w:p>
        </w:tc>
        <w:tc>
          <w:tcPr>
            <w:tcW w:w="4649" w:type="dxa"/>
          </w:tcPr>
          <w:p w14:paraId="134CAD75" w14:textId="2A175A51"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amount allocated to the fulfillment of the agreements derived from the Prior Consultation, if applicable;</w:t>
            </w:r>
          </w:p>
        </w:tc>
      </w:tr>
      <w:tr w:rsidR="009849AC" w:rsidRPr="002C0F16" w14:paraId="02AFD9BB" w14:textId="7FA710A1" w:rsidTr="00F867DE">
        <w:tc>
          <w:tcPr>
            <w:tcW w:w="4711" w:type="dxa"/>
          </w:tcPr>
          <w:p w14:paraId="2E5B6148"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Cualquier otro recurso humano y financiero asignado para la implementación del Plan de Gestión Social en las diferentes etapas del proyecto, y</w:t>
            </w:r>
          </w:p>
        </w:tc>
        <w:tc>
          <w:tcPr>
            <w:tcW w:w="4649" w:type="dxa"/>
          </w:tcPr>
          <w:p w14:paraId="4735FA5B" w14:textId="5CF0961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Any other human and financial resources assigned for the implementation of the Social Management Plan in the different stages of the project, and</w:t>
            </w:r>
          </w:p>
        </w:tc>
      </w:tr>
      <w:tr w:rsidR="009849AC" w:rsidRPr="002C0F16" w14:paraId="5B9B58B2" w14:textId="7CD25749" w:rsidTr="00F867DE">
        <w:tc>
          <w:tcPr>
            <w:tcW w:w="4711" w:type="dxa"/>
          </w:tcPr>
          <w:p w14:paraId="2F4094DB"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Cualquier otra que señale la Normatividad emitida por la Secretaría.</w:t>
            </w:r>
          </w:p>
        </w:tc>
        <w:tc>
          <w:tcPr>
            <w:tcW w:w="4649" w:type="dxa"/>
          </w:tcPr>
          <w:p w14:paraId="2C6B90BE" w14:textId="13AEFB98"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Any other indicated in the legislation issued by the Secretary.</w:t>
            </w:r>
          </w:p>
        </w:tc>
      </w:tr>
      <w:tr w:rsidR="009849AC" w:rsidRPr="002C0F16" w14:paraId="1D527563" w14:textId="359CA15D" w:rsidTr="00F867DE">
        <w:tc>
          <w:tcPr>
            <w:tcW w:w="4711" w:type="dxa"/>
          </w:tcPr>
          <w:p w14:paraId="71A68BEA"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237. </w:t>
            </w:r>
            <w:r w:rsidRPr="00837D4A">
              <w:rPr>
                <w:rFonts w:ascii="Verdana" w:hAnsi="Verdana"/>
                <w:sz w:val="16"/>
                <w:szCs w:val="16"/>
              </w:rPr>
              <w:t>El monto destinado a estrategias de Beneficios Sociales Compartidos señalados en el artículo 235, fracción IV de este reglamento debe ser igual o mayor al monto asignado a la atención de los Impactos Sociales identificados conforme al artículo 234 de este reglamento.</w:t>
            </w:r>
          </w:p>
        </w:tc>
        <w:tc>
          <w:tcPr>
            <w:tcW w:w="4649" w:type="dxa"/>
          </w:tcPr>
          <w:p w14:paraId="54E74C8B" w14:textId="5B846200"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237. </w:t>
            </w:r>
            <w:r w:rsidRPr="00837D4A">
              <w:rPr>
                <w:rFonts w:ascii="Verdana" w:hAnsi="Verdana"/>
                <w:sz w:val="16"/>
                <w:szCs w:val="16"/>
                <w:lang w:val="en-US"/>
              </w:rPr>
              <w:t>The amount allocated to Shared Social Benefits strategies indicated in article 235, section IV of this regulation must be equal to or greater than the amount assigned to address the Social Impacts identified in accordance with article 234 of this regulation.</w:t>
            </w:r>
          </w:p>
        </w:tc>
      </w:tr>
      <w:tr w:rsidR="009849AC" w:rsidRPr="002C0F16" w14:paraId="3FF47049" w14:textId="48704F94" w:rsidTr="00F867DE">
        <w:tc>
          <w:tcPr>
            <w:tcW w:w="4711" w:type="dxa"/>
          </w:tcPr>
          <w:p w14:paraId="7F6E27A9"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238.</w:t>
            </w:r>
            <w:r w:rsidRPr="00837D4A">
              <w:rPr>
                <w:rFonts w:ascii="Verdana" w:hAnsi="Verdana"/>
                <w:sz w:val="16"/>
                <w:szCs w:val="16"/>
              </w:rPr>
              <w:t xml:space="preserve"> Para la definición de las estrategias de Beneficios Sociales Compartidos definidas en el artículo 235, fracción IV de este reglamento, se deben considerar los siguientes elementos:</w:t>
            </w:r>
          </w:p>
        </w:tc>
        <w:tc>
          <w:tcPr>
            <w:tcW w:w="4649" w:type="dxa"/>
          </w:tcPr>
          <w:p w14:paraId="17A9CDDD" w14:textId="00B083CE"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238. </w:t>
            </w:r>
            <w:r w:rsidRPr="00837D4A">
              <w:rPr>
                <w:rFonts w:ascii="Verdana" w:hAnsi="Verdana"/>
                <w:sz w:val="16"/>
                <w:szCs w:val="16"/>
                <w:lang w:val="en-US"/>
              </w:rPr>
              <w:t>For the definition of the Shared Social Benefits strategies defined in article 235, section IV of this regulation, the following elements must be considered:</w:t>
            </w:r>
          </w:p>
        </w:tc>
      </w:tr>
      <w:tr w:rsidR="009849AC" w:rsidRPr="002C0F16" w14:paraId="38E0E6E3" w14:textId="684B5CBE" w:rsidTr="00F867DE">
        <w:tc>
          <w:tcPr>
            <w:tcW w:w="4711" w:type="dxa"/>
          </w:tcPr>
          <w:p w14:paraId="1F847DF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Atención a poblaciones en condición de vulnerabilidad;</w:t>
            </w:r>
          </w:p>
        </w:tc>
        <w:tc>
          <w:tcPr>
            <w:tcW w:w="4649" w:type="dxa"/>
          </w:tcPr>
          <w:p w14:paraId="2E31CD7A" w14:textId="0EBD153C"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Attention to vulnerable populations;</w:t>
            </w:r>
          </w:p>
        </w:tc>
      </w:tr>
      <w:tr w:rsidR="009849AC" w:rsidRPr="002C0F16" w14:paraId="3B7E8921" w14:textId="47A47CBD" w:rsidTr="00F867DE">
        <w:tc>
          <w:tcPr>
            <w:tcW w:w="4711" w:type="dxa"/>
          </w:tcPr>
          <w:p w14:paraId="270665DD"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Desarrollo de iniciativas orientadas a la generación de ingresos independientes del proyecto;</w:t>
            </w:r>
          </w:p>
        </w:tc>
        <w:tc>
          <w:tcPr>
            <w:tcW w:w="4649" w:type="dxa"/>
          </w:tcPr>
          <w:p w14:paraId="0C523A13" w14:textId="06E4566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Development of initiatives aimed at generating income independent of the project;</w:t>
            </w:r>
          </w:p>
        </w:tc>
      </w:tr>
      <w:tr w:rsidR="009849AC" w:rsidRPr="002C0F16" w14:paraId="6E9157AF" w14:textId="498AB575" w:rsidTr="00F867DE">
        <w:tc>
          <w:tcPr>
            <w:tcW w:w="4711" w:type="dxa"/>
          </w:tcPr>
          <w:p w14:paraId="005F998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Fortalecimiento de cadenas productivas locales;</w:t>
            </w:r>
          </w:p>
        </w:tc>
        <w:tc>
          <w:tcPr>
            <w:tcW w:w="4649" w:type="dxa"/>
          </w:tcPr>
          <w:p w14:paraId="69601913" w14:textId="00D33D7F"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Strengthening local production chains;</w:t>
            </w:r>
          </w:p>
        </w:tc>
      </w:tr>
      <w:tr w:rsidR="009849AC" w:rsidRPr="002C0F16" w14:paraId="4E8115B9" w14:textId="26AEEA5C" w:rsidTr="00F867DE">
        <w:tc>
          <w:tcPr>
            <w:tcW w:w="4711" w:type="dxa"/>
          </w:tcPr>
          <w:p w14:paraId="58DDC2A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Coordinación con autoridades locales;</w:t>
            </w:r>
          </w:p>
        </w:tc>
        <w:tc>
          <w:tcPr>
            <w:tcW w:w="4649" w:type="dxa"/>
          </w:tcPr>
          <w:p w14:paraId="1F6199F3" w14:textId="42EACFF8"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Coordination with local authorities;</w:t>
            </w:r>
          </w:p>
        </w:tc>
      </w:tr>
      <w:tr w:rsidR="009849AC" w:rsidRPr="002C0F16" w14:paraId="19B4DF51" w14:textId="7E5BC089" w:rsidTr="00F867DE">
        <w:tc>
          <w:tcPr>
            <w:tcW w:w="4711" w:type="dxa"/>
          </w:tcPr>
          <w:p w14:paraId="492B359F"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Planes de desarrollo de los tres órdenes de gobierno;</w:t>
            </w:r>
          </w:p>
        </w:tc>
        <w:tc>
          <w:tcPr>
            <w:tcW w:w="4649" w:type="dxa"/>
          </w:tcPr>
          <w:p w14:paraId="20F64FFE" w14:textId="4539405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Development plans of the three levels of government;</w:t>
            </w:r>
          </w:p>
        </w:tc>
      </w:tr>
      <w:tr w:rsidR="009849AC" w:rsidRPr="002C0F16" w14:paraId="3FD53418" w14:textId="24677F71" w:rsidTr="00F867DE">
        <w:tc>
          <w:tcPr>
            <w:tcW w:w="4711" w:type="dxa"/>
          </w:tcPr>
          <w:p w14:paraId="4AE7F60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Desarrollo y fortalecimiento de capacidades locales;</w:t>
            </w:r>
          </w:p>
        </w:tc>
        <w:tc>
          <w:tcPr>
            <w:tcW w:w="4649" w:type="dxa"/>
          </w:tcPr>
          <w:p w14:paraId="3190E66C" w14:textId="40660BC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Development and strengthening of local capacities;</w:t>
            </w:r>
          </w:p>
        </w:tc>
      </w:tr>
      <w:tr w:rsidR="009849AC" w:rsidRPr="002C0F16" w14:paraId="311F7127" w14:textId="1EE484F1" w:rsidTr="00F867DE">
        <w:tc>
          <w:tcPr>
            <w:tcW w:w="4711" w:type="dxa"/>
          </w:tcPr>
          <w:p w14:paraId="713C4B3E"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Sostenibilidad en el mediano y largo plazo, y</w:t>
            </w:r>
          </w:p>
        </w:tc>
        <w:tc>
          <w:tcPr>
            <w:tcW w:w="4649" w:type="dxa"/>
          </w:tcPr>
          <w:p w14:paraId="3FCCE4DF" w14:textId="25DE46F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Sustainability in the medium and long term, and</w:t>
            </w:r>
          </w:p>
        </w:tc>
      </w:tr>
      <w:tr w:rsidR="009849AC" w:rsidRPr="002C0F16" w14:paraId="49D735A5" w14:textId="32751841" w:rsidTr="00F867DE">
        <w:tc>
          <w:tcPr>
            <w:tcW w:w="4711" w:type="dxa"/>
          </w:tcPr>
          <w:p w14:paraId="1E44A0BD"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Las demás que establezca la Normatividad emitida por la Secretaría.</w:t>
            </w:r>
          </w:p>
        </w:tc>
        <w:tc>
          <w:tcPr>
            <w:tcW w:w="4649" w:type="dxa"/>
          </w:tcPr>
          <w:p w14:paraId="513035E7" w14:textId="761F3057"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Others established by the Legislation issued by the Secretary.</w:t>
            </w:r>
          </w:p>
        </w:tc>
      </w:tr>
      <w:tr w:rsidR="009849AC" w:rsidRPr="002C0F16" w14:paraId="74F5F4B8" w14:textId="4190B2EA" w:rsidTr="00F867DE">
        <w:tc>
          <w:tcPr>
            <w:tcW w:w="4711" w:type="dxa"/>
          </w:tcPr>
          <w:p w14:paraId="6031E39D"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239.</w:t>
            </w:r>
            <w:r w:rsidRPr="00837D4A">
              <w:rPr>
                <w:rFonts w:ascii="Verdana" w:hAnsi="Verdana"/>
                <w:sz w:val="16"/>
                <w:szCs w:val="16"/>
              </w:rPr>
              <w:t xml:space="preserve"> Para la determinación del monto de inversión total anual establecido en el artículo 235, fracción V de este reglamento, las empresas públicas del Estado pueden considerar lo dispuesto en sus programas de inversión social institucional, siempre que dichos programas incorporen los elementos señalados en los artículos 233, 234 y 235 de este reglamento, se encuentren documentados y alineados a sus propias normas internas y a la Normatividad que emita la Secretaría.</w:t>
            </w:r>
          </w:p>
        </w:tc>
        <w:tc>
          <w:tcPr>
            <w:tcW w:w="4649" w:type="dxa"/>
          </w:tcPr>
          <w:p w14:paraId="672C863C" w14:textId="534B2095"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239. </w:t>
            </w:r>
            <w:r w:rsidRPr="00837D4A">
              <w:rPr>
                <w:rFonts w:ascii="Verdana" w:hAnsi="Verdana"/>
                <w:sz w:val="16"/>
                <w:szCs w:val="16"/>
                <w:lang w:val="en-US"/>
              </w:rPr>
              <w:t>To determine the total annual investment amount established in article 235, section V of this regulation, the State's public companies may consider the provisions of their institutional social investment programs, provided that said programs incorporate the elements indicated in articles 233, 234 and 235 of this regulation, are documented and aligned with their own internal Regulation and with the legislation issued by the Secretary.</w:t>
            </w:r>
          </w:p>
        </w:tc>
      </w:tr>
      <w:tr w:rsidR="009849AC" w:rsidRPr="002C0F16" w14:paraId="7340ABBA" w14:textId="322693B9" w:rsidTr="00F867DE">
        <w:tc>
          <w:tcPr>
            <w:tcW w:w="4711" w:type="dxa"/>
          </w:tcPr>
          <w:p w14:paraId="1ABA2C42"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240.</w:t>
            </w:r>
            <w:r w:rsidRPr="00837D4A">
              <w:rPr>
                <w:rFonts w:ascii="Verdana" w:hAnsi="Verdana"/>
                <w:sz w:val="16"/>
                <w:szCs w:val="16"/>
              </w:rPr>
              <w:t xml:space="preserve"> La Secretaría, en un plazo no mayor de noventa días hábiles, contado a partir de la presentación de la Manifestación de Impacto Social del Sector Energético, debe emitir una resolución que autorice </w:t>
            </w:r>
            <w:r w:rsidRPr="00837D4A">
              <w:rPr>
                <w:rFonts w:ascii="Verdana" w:hAnsi="Verdana"/>
                <w:sz w:val="16"/>
                <w:szCs w:val="16"/>
              </w:rPr>
              <w:lastRenderedPageBreak/>
              <w:t>definitivamente, que autorice de manera condicionada o niegue la autorización solicitada, conforme a lo señalado en el artículo 155 de la Ley.</w:t>
            </w:r>
          </w:p>
        </w:tc>
        <w:tc>
          <w:tcPr>
            <w:tcW w:w="4649" w:type="dxa"/>
          </w:tcPr>
          <w:p w14:paraId="0CFDF794" w14:textId="21535ABC"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240. </w:t>
            </w:r>
            <w:r w:rsidRPr="00837D4A">
              <w:rPr>
                <w:rFonts w:ascii="Verdana" w:hAnsi="Verdana"/>
                <w:sz w:val="16"/>
                <w:szCs w:val="16"/>
                <w:lang w:val="en-US"/>
              </w:rPr>
              <w:t xml:space="preserve">The Secretary, within a period of no more than ninety business days, counted from the presentation of the Social Impact Statement of the Energy Sector, must issue a resolution that definitively </w:t>
            </w:r>
            <w:r w:rsidRPr="00837D4A">
              <w:rPr>
                <w:rFonts w:ascii="Verdana" w:hAnsi="Verdana"/>
                <w:sz w:val="16"/>
                <w:szCs w:val="16"/>
                <w:lang w:val="en-US"/>
              </w:rPr>
              <w:lastRenderedPageBreak/>
              <w:t>authorizes, conditionally authorizes, or denies the requested authorization, in accordance with the provisions of Article 155 of the Law.</w:t>
            </w:r>
          </w:p>
        </w:tc>
      </w:tr>
      <w:tr w:rsidR="009849AC" w:rsidRPr="002C0F16" w14:paraId="590EFBAD" w14:textId="060F944E" w:rsidTr="00F867DE">
        <w:tc>
          <w:tcPr>
            <w:tcW w:w="4711" w:type="dxa"/>
          </w:tcPr>
          <w:p w14:paraId="1308F0EA"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lastRenderedPageBreak/>
              <w:t>La Secretaría debe resolver la Manifestación de Impacto Social del Sector Energético exclusivamente con la documentación presentada en la solicitud inicial y, en su caso, con la información que el interesado presente en atención a la prevención o requerimiento que en su momento formule la Secretaría. En el supuesto de que el interesado ingrese información adicional, se debe tener por no presentada.</w:t>
            </w:r>
          </w:p>
        </w:tc>
        <w:tc>
          <w:tcPr>
            <w:tcW w:w="4649" w:type="dxa"/>
          </w:tcPr>
          <w:p w14:paraId="1EB915E8" w14:textId="77557080"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Secretary must resolve the Energy Sector Social Impact Statement exclusively with the documentation submitted in the initial application and, where applicable, with the information submitted by the interested party in response to any prevention</w:t>
            </w:r>
            <w:r w:rsidRPr="00837D4A">
              <w:rPr>
                <w:rStyle w:val="FootnoteReference"/>
                <w:rFonts w:ascii="Verdana" w:hAnsi="Verdana"/>
                <w:sz w:val="16"/>
                <w:szCs w:val="16"/>
                <w:lang w:val="en-US"/>
              </w:rPr>
              <w:footnoteReference w:id="7"/>
            </w:r>
            <w:r w:rsidRPr="00837D4A">
              <w:rPr>
                <w:rFonts w:ascii="Verdana" w:hAnsi="Verdana"/>
                <w:sz w:val="16"/>
                <w:szCs w:val="16"/>
                <w:lang w:val="en-US"/>
              </w:rPr>
              <w:t xml:space="preserve"> or request made by the Secretary. If the interested party submits additional information, it must be considered as not submitted.</w:t>
            </w:r>
          </w:p>
        </w:tc>
      </w:tr>
      <w:tr w:rsidR="009849AC" w:rsidRPr="002C0F16" w14:paraId="7BFDC3BC" w14:textId="3D8A2725" w:rsidTr="00F867DE">
        <w:tc>
          <w:tcPr>
            <w:tcW w:w="4711" w:type="dxa"/>
          </w:tcPr>
          <w:p w14:paraId="2ED9FE4E"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En caso de que ya se cuente con la autorización definitiva y se presente una modificación de la Manifestación de Impacto Social del Sector Energético, dados los casos en que el proyecto haya sufrido cambios sustanciales en términos del artículo 229 de este reglamento, se debe seguir el mismo procedimiento que se sigue para emitir una nueva resolución que autorice definitivamente, que autorice de manera condicionada o niegue la autorización solicitada, de conformidad con lo señalado en el párrafo primero de este artículo.</w:t>
            </w:r>
          </w:p>
        </w:tc>
        <w:tc>
          <w:tcPr>
            <w:tcW w:w="4649" w:type="dxa"/>
          </w:tcPr>
          <w:p w14:paraId="780C8351" w14:textId="4735EDB8"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In the event that a definitive authorization is already in place and a modification to the Energy Sector Social Impact Statement is submitted, given the cases in which the project has undergone substantial changes in terms of article 229 of this regulation, the same procedure must be followed as for issuing a new resolution that definitively authorizes, conditionally authorizes, or denies the requested authorization, in accordance with the provisions of the first paragraph of this article.</w:t>
            </w:r>
          </w:p>
        </w:tc>
      </w:tr>
      <w:tr w:rsidR="009849AC" w:rsidRPr="002C0F16" w14:paraId="43B88F5B" w14:textId="1316A234" w:rsidTr="00F867DE">
        <w:tc>
          <w:tcPr>
            <w:tcW w:w="4711" w:type="dxa"/>
          </w:tcPr>
          <w:p w14:paraId="514AF57D"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241.</w:t>
            </w:r>
            <w:r w:rsidRPr="00837D4A">
              <w:rPr>
                <w:rFonts w:ascii="Verdana" w:hAnsi="Verdana"/>
                <w:sz w:val="16"/>
                <w:szCs w:val="16"/>
              </w:rPr>
              <w:t xml:space="preserve"> La Secretaría debe emitir la autorización condicionada de la Manifestación de Impacto Social del Sector Energético, además de lo señalado en el artículo 155, fracción II de la Ley, por los siguientes supuestos:</w:t>
            </w:r>
          </w:p>
        </w:tc>
        <w:tc>
          <w:tcPr>
            <w:tcW w:w="4649" w:type="dxa"/>
          </w:tcPr>
          <w:p w14:paraId="66596E65" w14:textId="5755EB71"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241. </w:t>
            </w:r>
            <w:r w:rsidRPr="00837D4A">
              <w:rPr>
                <w:rFonts w:ascii="Verdana" w:hAnsi="Verdana"/>
                <w:sz w:val="16"/>
                <w:szCs w:val="16"/>
                <w:lang w:val="en-US"/>
              </w:rPr>
              <w:t>The Secretary must issue the conditional authorization of the Social Impact Statement of the Energy Sector, in addition to what is indicated in article 155, section II of the Law, for the following reasons:</w:t>
            </w:r>
          </w:p>
        </w:tc>
      </w:tr>
      <w:tr w:rsidR="009849AC" w:rsidRPr="002C0F16" w14:paraId="0121B730" w14:textId="0FECF9CD" w:rsidTr="00F867DE">
        <w:tc>
          <w:tcPr>
            <w:tcW w:w="4711" w:type="dxa"/>
          </w:tcPr>
          <w:p w14:paraId="1A6072D3"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Cuando se determine la procedencia de la Consulta Previa para el proyecto, y</w:t>
            </w:r>
          </w:p>
        </w:tc>
        <w:tc>
          <w:tcPr>
            <w:tcW w:w="4649" w:type="dxa"/>
          </w:tcPr>
          <w:p w14:paraId="1137F089" w14:textId="06B26ACA"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When the appropriateness of the Prior Consultation for the project is determined, and</w:t>
            </w:r>
          </w:p>
        </w:tc>
      </w:tr>
      <w:tr w:rsidR="009849AC" w:rsidRPr="002C0F16" w14:paraId="34AD5301" w14:textId="2A13810D" w:rsidTr="00F867DE">
        <w:tc>
          <w:tcPr>
            <w:tcW w:w="4711" w:type="dxa"/>
          </w:tcPr>
          <w:p w14:paraId="057D5833"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Cualquier otra que señale la Normatividad aplicable.</w:t>
            </w:r>
          </w:p>
        </w:tc>
        <w:tc>
          <w:tcPr>
            <w:tcW w:w="4649" w:type="dxa"/>
          </w:tcPr>
          <w:p w14:paraId="494A9BED" w14:textId="6AE829C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Any other indicated by the applicable legislation.</w:t>
            </w:r>
          </w:p>
        </w:tc>
      </w:tr>
      <w:tr w:rsidR="009849AC" w:rsidRPr="002C0F16" w14:paraId="1871B46E" w14:textId="4E4CA285" w:rsidTr="00F867DE">
        <w:tc>
          <w:tcPr>
            <w:tcW w:w="4711" w:type="dxa"/>
          </w:tcPr>
          <w:p w14:paraId="78560E5B" w14:textId="77777777" w:rsidR="009849AC" w:rsidRPr="00837D4A" w:rsidRDefault="009849AC" w:rsidP="009849AC">
            <w:pPr>
              <w:pStyle w:val="Texto"/>
              <w:spacing w:after="84" w:line="217" w:lineRule="exact"/>
              <w:ind w:firstLine="0"/>
              <w:rPr>
                <w:rFonts w:ascii="Verdana" w:hAnsi="Verdana"/>
                <w:sz w:val="16"/>
                <w:szCs w:val="16"/>
              </w:rPr>
            </w:pPr>
            <w:r w:rsidRPr="00837D4A">
              <w:rPr>
                <w:rFonts w:ascii="Verdana" w:hAnsi="Verdana"/>
                <w:sz w:val="16"/>
                <w:szCs w:val="16"/>
              </w:rPr>
              <w:t>Una vez que las personas Asignatarias, Contratistas o interesadas en obtener un permiso o autorización, informen que han cumplido con las condicionantes o, en su caso, los estudios adicionales derivados del resultado de la Consulta Previa y no considerados en la Manifestación de Impacto Social del Sector Energético, la Secretaría debe resolver si procede autorizarla de forma definitiva, o bien negarla, en un plazo de cuarenta y cinco días hábiles contados a partir del día siguiente a que haya sido entregada la información, el cual puede ser prorrogable por un plazo igual, cuando la complejidad del asunto lo amerite a juicio de la Secretaría.</w:t>
            </w:r>
          </w:p>
        </w:tc>
        <w:tc>
          <w:tcPr>
            <w:tcW w:w="4649" w:type="dxa"/>
          </w:tcPr>
          <w:p w14:paraId="6D03B6D5" w14:textId="0637A8C1" w:rsidR="009849AC" w:rsidRPr="00837D4A" w:rsidRDefault="009849AC" w:rsidP="009849AC">
            <w:pPr>
              <w:pStyle w:val="Texto"/>
              <w:spacing w:after="84" w:line="217" w:lineRule="exact"/>
              <w:ind w:firstLine="0"/>
              <w:rPr>
                <w:rFonts w:ascii="Verdana" w:hAnsi="Verdana"/>
                <w:sz w:val="16"/>
                <w:szCs w:val="16"/>
                <w:lang w:val="en-US"/>
              </w:rPr>
            </w:pPr>
            <w:r w:rsidRPr="00837D4A">
              <w:rPr>
                <w:rFonts w:ascii="Verdana" w:hAnsi="Verdana"/>
                <w:sz w:val="16"/>
                <w:szCs w:val="16"/>
                <w:lang w:val="en-US"/>
              </w:rPr>
              <w:t>Once the Assignees, Contractors or those interested in obtaining a permit or authorization report that they have complied with the conditions or, where applicable, the additional studies derived from the result of the Prior Consultation and not considered in the Social Impact Statement of the Energy Sector, the Secretary must decide whether to authorize it definitively, or deny it, within a period of forty-five business days counted from the day after the information has been delivered, which may be extendable for an equal period, when the complexity of the matter warrants it in the judgment of the Secretary.</w:t>
            </w:r>
          </w:p>
        </w:tc>
      </w:tr>
      <w:tr w:rsidR="009849AC" w:rsidRPr="002C0F16" w14:paraId="3C291B57" w14:textId="428A0682" w:rsidTr="00F867DE">
        <w:tc>
          <w:tcPr>
            <w:tcW w:w="4711" w:type="dxa"/>
          </w:tcPr>
          <w:p w14:paraId="5D23A977" w14:textId="77777777" w:rsidR="009849AC" w:rsidRPr="00837D4A" w:rsidRDefault="009849AC" w:rsidP="009849AC">
            <w:pPr>
              <w:pStyle w:val="Texto"/>
              <w:spacing w:after="84" w:line="217" w:lineRule="exact"/>
              <w:ind w:firstLine="0"/>
              <w:rPr>
                <w:rFonts w:ascii="Verdana" w:hAnsi="Verdana"/>
                <w:sz w:val="16"/>
                <w:szCs w:val="16"/>
              </w:rPr>
            </w:pPr>
            <w:r w:rsidRPr="00837D4A">
              <w:rPr>
                <w:rFonts w:ascii="Verdana" w:hAnsi="Verdana"/>
                <w:b/>
                <w:sz w:val="16"/>
                <w:szCs w:val="16"/>
              </w:rPr>
              <w:t>Artículo 242.</w:t>
            </w:r>
            <w:r w:rsidRPr="00837D4A">
              <w:rPr>
                <w:rFonts w:ascii="Verdana" w:hAnsi="Verdana"/>
                <w:sz w:val="16"/>
                <w:szCs w:val="16"/>
              </w:rPr>
              <w:t xml:space="preserve"> La Secretaría puede negar la Autorización de la Manifestación de Impacto Social del Sector Energético, además de lo señalado en el artículo 155, fracción III de la Ley, por los siguientes supuestos:</w:t>
            </w:r>
          </w:p>
        </w:tc>
        <w:tc>
          <w:tcPr>
            <w:tcW w:w="4649" w:type="dxa"/>
          </w:tcPr>
          <w:p w14:paraId="44289041" w14:textId="76804A12"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Article 242. </w:t>
            </w:r>
            <w:r w:rsidRPr="00837D4A">
              <w:rPr>
                <w:rFonts w:ascii="Verdana" w:hAnsi="Verdana"/>
                <w:sz w:val="16"/>
                <w:szCs w:val="16"/>
                <w:lang w:val="en-US"/>
              </w:rPr>
              <w:t>The Secretary may deny the Authorization of the Social Impact Statement of the Energy Sector, in addition to what is indicated in article 155, section III of the Law, for the following reasons:</w:t>
            </w:r>
          </w:p>
        </w:tc>
      </w:tr>
      <w:tr w:rsidR="009849AC" w:rsidRPr="002C0F16" w14:paraId="0202B868" w14:textId="6332DE16" w:rsidTr="00F867DE">
        <w:tc>
          <w:tcPr>
            <w:tcW w:w="4711" w:type="dxa"/>
          </w:tcPr>
          <w:p w14:paraId="100A9BAB" w14:textId="77777777" w:rsidR="009849AC" w:rsidRPr="00837D4A" w:rsidRDefault="009849AC" w:rsidP="009849AC">
            <w:pPr>
              <w:pStyle w:val="Texto"/>
              <w:spacing w:after="84" w:line="217"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 xml:space="preserve">Cuando el pueblo o comunidad indígena o afromexicana haya determinado negar su consentimiento durante el procedimiento de Consulta Previa para el proyecto y la Secretaría determine que </w:t>
            </w:r>
            <w:r w:rsidRPr="00837D4A">
              <w:rPr>
                <w:rFonts w:ascii="Verdana" w:hAnsi="Verdana"/>
                <w:sz w:val="16"/>
                <w:szCs w:val="16"/>
              </w:rPr>
              <w:lastRenderedPageBreak/>
              <w:t>dicho proyecto no es acorde con la política energética, la planeación vinculante o el interés público;</w:t>
            </w:r>
          </w:p>
        </w:tc>
        <w:tc>
          <w:tcPr>
            <w:tcW w:w="4649" w:type="dxa"/>
          </w:tcPr>
          <w:p w14:paraId="317ECEFB" w14:textId="383E15E2"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lastRenderedPageBreak/>
              <w:t xml:space="preserve">I. </w:t>
            </w:r>
            <w:r w:rsidRPr="00837D4A">
              <w:rPr>
                <w:rFonts w:ascii="Verdana" w:hAnsi="Verdana"/>
                <w:b/>
                <w:sz w:val="16"/>
                <w:szCs w:val="16"/>
                <w:lang w:val="en-US"/>
              </w:rPr>
              <w:tab/>
            </w:r>
            <w:r w:rsidRPr="00837D4A">
              <w:rPr>
                <w:rFonts w:ascii="Verdana" w:hAnsi="Verdana"/>
                <w:sz w:val="16"/>
                <w:szCs w:val="16"/>
                <w:lang w:val="en-US"/>
              </w:rPr>
              <w:t xml:space="preserve">When the indigenous or Afro-Mexican people or community has decided to deny its consent during the Prior Consultation procedure for the project and the Secretary determines that said project is not in </w:t>
            </w:r>
            <w:r w:rsidRPr="00837D4A">
              <w:rPr>
                <w:rFonts w:ascii="Verdana" w:hAnsi="Verdana"/>
                <w:sz w:val="16"/>
                <w:szCs w:val="16"/>
                <w:lang w:val="en-US"/>
              </w:rPr>
              <w:lastRenderedPageBreak/>
              <w:t>accordance with energy policy, binding planning or the public interest;</w:t>
            </w:r>
          </w:p>
        </w:tc>
      </w:tr>
      <w:tr w:rsidR="009849AC" w:rsidRPr="002C0F16" w14:paraId="03228A31" w14:textId="68D7369E" w:rsidTr="00F867DE">
        <w:tc>
          <w:tcPr>
            <w:tcW w:w="4711" w:type="dxa"/>
          </w:tcPr>
          <w:p w14:paraId="3D69139F" w14:textId="77777777" w:rsidR="009849AC" w:rsidRPr="00837D4A" w:rsidRDefault="009849AC" w:rsidP="009849AC">
            <w:pPr>
              <w:pStyle w:val="Texto"/>
              <w:spacing w:after="84" w:line="217" w:lineRule="exact"/>
              <w:ind w:firstLine="0"/>
              <w:rPr>
                <w:rFonts w:ascii="Verdana" w:hAnsi="Verdana"/>
                <w:b/>
                <w:sz w:val="16"/>
                <w:szCs w:val="16"/>
              </w:rPr>
            </w:pPr>
            <w:r w:rsidRPr="00837D4A">
              <w:rPr>
                <w:rFonts w:ascii="Verdana" w:hAnsi="Verdana"/>
                <w:b/>
                <w:sz w:val="16"/>
                <w:szCs w:val="16"/>
              </w:rPr>
              <w:lastRenderedPageBreak/>
              <w:t>II.</w:t>
            </w:r>
            <w:r w:rsidRPr="00837D4A">
              <w:rPr>
                <w:rFonts w:ascii="Verdana" w:hAnsi="Verdana"/>
                <w:b/>
                <w:sz w:val="16"/>
                <w:szCs w:val="16"/>
              </w:rPr>
              <w:tab/>
            </w:r>
            <w:r w:rsidRPr="00837D4A">
              <w:rPr>
                <w:rFonts w:ascii="Verdana" w:hAnsi="Verdana"/>
                <w:sz w:val="16"/>
                <w:szCs w:val="16"/>
              </w:rPr>
              <w:t>Cuando el proyecto ponga en riesgo la supervivencia de un pueblo o comunidad indígena o afromexicana en términos de la Normatividad aplicable;</w:t>
            </w:r>
          </w:p>
        </w:tc>
        <w:tc>
          <w:tcPr>
            <w:tcW w:w="4649" w:type="dxa"/>
          </w:tcPr>
          <w:p w14:paraId="23573786" w14:textId="3829CAD4"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When the project puts at risk the survival of an indigenous or Afro-Mexican people or community in terms of the applicable legislation;</w:t>
            </w:r>
          </w:p>
        </w:tc>
      </w:tr>
      <w:tr w:rsidR="009849AC" w:rsidRPr="002C0F16" w14:paraId="57CDE549" w14:textId="63F9C746" w:rsidTr="00F867DE">
        <w:tc>
          <w:tcPr>
            <w:tcW w:w="4711" w:type="dxa"/>
          </w:tcPr>
          <w:p w14:paraId="5F1C3298" w14:textId="77777777" w:rsidR="009849AC" w:rsidRPr="00837D4A" w:rsidRDefault="009849AC" w:rsidP="009849AC">
            <w:pPr>
              <w:pStyle w:val="Texto"/>
              <w:spacing w:after="84" w:line="217"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Cuando el proyecto se pretenda implementar en zonas restringidas conforme a la Normatividad aplicable;</w:t>
            </w:r>
          </w:p>
        </w:tc>
        <w:tc>
          <w:tcPr>
            <w:tcW w:w="4649" w:type="dxa"/>
          </w:tcPr>
          <w:p w14:paraId="005EC018" w14:textId="4394BA0C"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When the project is intended to be implemented in restricted areas in accordance with the applicable legislation;</w:t>
            </w:r>
          </w:p>
        </w:tc>
      </w:tr>
      <w:tr w:rsidR="009849AC" w:rsidRPr="002C0F16" w14:paraId="483B4CAE" w14:textId="4DFC0F44" w:rsidTr="00F867DE">
        <w:tc>
          <w:tcPr>
            <w:tcW w:w="4711" w:type="dxa"/>
          </w:tcPr>
          <w:p w14:paraId="10E1F9DD" w14:textId="77777777" w:rsidR="009849AC" w:rsidRPr="00837D4A" w:rsidRDefault="009849AC" w:rsidP="009849AC">
            <w:pPr>
              <w:pStyle w:val="Texto"/>
              <w:spacing w:after="84" w:line="217"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Cuando el proyecto genere Impactos Sociales Significativos negativos cuya implementación provoque mayor perjuicio que beneficio a las poblaciones que se encuentren en el área de influencia, y</w:t>
            </w:r>
          </w:p>
        </w:tc>
        <w:tc>
          <w:tcPr>
            <w:tcW w:w="4649" w:type="dxa"/>
          </w:tcPr>
          <w:p w14:paraId="59E28689" w14:textId="16B32871"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When the project generates significant negative social impacts, the implementation of which causes more harm than benefit to the populations located in the area of influence, and</w:t>
            </w:r>
          </w:p>
        </w:tc>
      </w:tr>
      <w:tr w:rsidR="009849AC" w:rsidRPr="002C0F16" w14:paraId="71D4C057" w14:textId="62500E09" w:rsidTr="00F867DE">
        <w:tc>
          <w:tcPr>
            <w:tcW w:w="4711" w:type="dxa"/>
          </w:tcPr>
          <w:p w14:paraId="25F98E4C" w14:textId="77777777" w:rsidR="009849AC" w:rsidRPr="00837D4A" w:rsidRDefault="009849AC" w:rsidP="009849AC">
            <w:pPr>
              <w:pStyle w:val="Texto"/>
              <w:spacing w:after="84" w:line="217"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Cualquier otra que señale la Normatividad emitida por la Secretaría.</w:t>
            </w:r>
          </w:p>
        </w:tc>
        <w:tc>
          <w:tcPr>
            <w:tcW w:w="4649" w:type="dxa"/>
          </w:tcPr>
          <w:p w14:paraId="34374810" w14:textId="7CF7D869"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Any other indicated in the Legislation issued by the Secretary.</w:t>
            </w:r>
          </w:p>
        </w:tc>
      </w:tr>
      <w:tr w:rsidR="009849AC" w:rsidRPr="002C0F16" w14:paraId="7FB3FF1E" w14:textId="47D44AA7" w:rsidTr="00F867DE">
        <w:tc>
          <w:tcPr>
            <w:tcW w:w="4711" w:type="dxa"/>
          </w:tcPr>
          <w:p w14:paraId="09E3B56E" w14:textId="77777777" w:rsidR="009849AC" w:rsidRPr="00837D4A" w:rsidRDefault="009849AC" w:rsidP="009849AC">
            <w:pPr>
              <w:pStyle w:val="Texto"/>
              <w:spacing w:after="84" w:line="217" w:lineRule="exact"/>
              <w:ind w:firstLine="0"/>
              <w:rPr>
                <w:rFonts w:ascii="Verdana" w:hAnsi="Verdana"/>
                <w:sz w:val="16"/>
                <w:szCs w:val="16"/>
              </w:rPr>
            </w:pPr>
            <w:r w:rsidRPr="00837D4A">
              <w:rPr>
                <w:rFonts w:ascii="Verdana" w:hAnsi="Verdana"/>
                <w:b/>
                <w:sz w:val="16"/>
                <w:szCs w:val="16"/>
              </w:rPr>
              <w:t>Artículo 243.</w:t>
            </w:r>
            <w:r w:rsidRPr="00837D4A">
              <w:rPr>
                <w:rFonts w:ascii="Verdana" w:hAnsi="Verdana"/>
                <w:sz w:val="16"/>
                <w:szCs w:val="16"/>
              </w:rPr>
              <w:t xml:space="preserve"> La Secretaría debe verificar, a través de visitas de verificación requerimiento de información, documentación, informes, comparecencias o cualquier otro procedimiento previsto en la Normatividad aplicable, el cumplimiento de los términos y condicionantes que se establezcan en la autorización definitiva de la Manifestación de Impacto Social del Sector Energético, en los casos siguientes:</w:t>
            </w:r>
          </w:p>
        </w:tc>
        <w:tc>
          <w:tcPr>
            <w:tcW w:w="4649" w:type="dxa"/>
          </w:tcPr>
          <w:p w14:paraId="3640D564" w14:textId="41369646"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Article 243. </w:t>
            </w:r>
            <w:r w:rsidRPr="00837D4A">
              <w:rPr>
                <w:rFonts w:ascii="Verdana" w:hAnsi="Verdana"/>
                <w:sz w:val="16"/>
                <w:szCs w:val="16"/>
                <w:lang w:val="en-US"/>
              </w:rPr>
              <w:t>The Secretary must verify, through verification visits, requests for information, documentation, reports, appearances or any other procedure provided for in the applicable legislation, compliance with the terms and conditions established in the final authorization of the Social Impact Statement of the Energy Sector, in the following cases:</w:t>
            </w:r>
          </w:p>
        </w:tc>
      </w:tr>
      <w:tr w:rsidR="009849AC" w:rsidRPr="002C0F16" w14:paraId="74181787" w14:textId="7047264E" w:rsidTr="00F867DE">
        <w:tc>
          <w:tcPr>
            <w:tcW w:w="4711" w:type="dxa"/>
          </w:tcPr>
          <w:p w14:paraId="374F3103" w14:textId="77777777" w:rsidR="009849AC" w:rsidRPr="00837D4A" w:rsidRDefault="009849AC" w:rsidP="009849AC">
            <w:pPr>
              <w:pStyle w:val="Texto"/>
              <w:spacing w:after="84" w:line="217"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Cuando la Secretaría tenga conocimiento de un posible incumplimiento a las obligaciones establecidas en la Autorización;</w:t>
            </w:r>
          </w:p>
        </w:tc>
        <w:tc>
          <w:tcPr>
            <w:tcW w:w="4649" w:type="dxa"/>
          </w:tcPr>
          <w:p w14:paraId="74957B63" w14:textId="5EF63729"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When the Secretary becomes aware of a possible failure to comply with the obligations established in the Authorization;</w:t>
            </w:r>
          </w:p>
        </w:tc>
      </w:tr>
      <w:tr w:rsidR="009849AC" w:rsidRPr="002C0F16" w14:paraId="7DAA6263" w14:textId="25AB8B50" w:rsidTr="00F867DE">
        <w:tc>
          <w:tcPr>
            <w:tcW w:w="4711" w:type="dxa"/>
          </w:tcPr>
          <w:p w14:paraId="5B4B9545" w14:textId="77777777" w:rsidR="009849AC" w:rsidRPr="00837D4A" w:rsidRDefault="009849AC" w:rsidP="009849AC">
            <w:pPr>
              <w:pStyle w:val="Texto"/>
              <w:spacing w:after="84" w:line="217"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Cuando la persona Asignataria, Contratista o interesada en obtener un permiso o autorización no haya entregado el informe de implementación del Plan de Gestión Social en los términos que haya sido determinado en la autorización definitiva de la Manifestación de Impacto Social del Sector Energético;</w:t>
            </w:r>
          </w:p>
        </w:tc>
        <w:tc>
          <w:tcPr>
            <w:tcW w:w="4649" w:type="dxa"/>
          </w:tcPr>
          <w:p w14:paraId="410C49C3" w14:textId="6E0EAFA6"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When the assignee, contractor or person interested in obtaining a permit or authorization has not submitted the implementation report of the Social Management Plan in the terms that have been determined in the final authorization of the Social Impact Statement of the Energy Sector;</w:t>
            </w:r>
          </w:p>
        </w:tc>
      </w:tr>
      <w:tr w:rsidR="009849AC" w:rsidRPr="002C0F16" w14:paraId="27A22421" w14:textId="0F76A58B" w:rsidTr="00F867DE">
        <w:tc>
          <w:tcPr>
            <w:tcW w:w="4711" w:type="dxa"/>
          </w:tcPr>
          <w:p w14:paraId="0C8D6681" w14:textId="77777777" w:rsidR="009849AC" w:rsidRPr="00837D4A" w:rsidRDefault="009849AC" w:rsidP="009849AC">
            <w:pPr>
              <w:pStyle w:val="Texto"/>
              <w:spacing w:after="84" w:line="217"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Cuando así lo determine la Secretaría, al considerar los Impactos Sociales que se generen por la implementación del proyecto;</w:t>
            </w:r>
          </w:p>
        </w:tc>
        <w:tc>
          <w:tcPr>
            <w:tcW w:w="4649" w:type="dxa"/>
          </w:tcPr>
          <w:p w14:paraId="55B987F5" w14:textId="249AD159"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When so determined by the Secretary, considering the Social Impacts generated by the implementation of the project;</w:t>
            </w:r>
          </w:p>
        </w:tc>
      </w:tr>
      <w:tr w:rsidR="009849AC" w:rsidRPr="002C0F16" w14:paraId="3F1B6E11" w14:textId="49A1A043" w:rsidTr="00F867DE">
        <w:tc>
          <w:tcPr>
            <w:tcW w:w="4711" w:type="dxa"/>
          </w:tcPr>
          <w:p w14:paraId="1250C17C" w14:textId="77777777" w:rsidR="009849AC" w:rsidRPr="00837D4A" w:rsidRDefault="009849AC" w:rsidP="009849AC">
            <w:pPr>
              <w:pStyle w:val="Texto"/>
              <w:spacing w:after="84" w:line="217"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Cuando así lo determine la Secretaría por razones distintas a las anteriores, y</w:t>
            </w:r>
          </w:p>
        </w:tc>
        <w:tc>
          <w:tcPr>
            <w:tcW w:w="4649" w:type="dxa"/>
          </w:tcPr>
          <w:p w14:paraId="588E1782" w14:textId="4A2870FE"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When the Secretary so determines for reasons other than the above, and</w:t>
            </w:r>
          </w:p>
        </w:tc>
      </w:tr>
      <w:tr w:rsidR="009849AC" w:rsidRPr="002C0F16" w14:paraId="14A058A0" w14:textId="5E28C904" w:rsidTr="00F867DE">
        <w:tc>
          <w:tcPr>
            <w:tcW w:w="4711" w:type="dxa"/>
          </w:tcPr>
          <w:p w14:paraId="1A5A489C" w14:textId="77777777" w:rsidR="009849AC" w:rsidRPr="00837D4A" w:rsidRDefault="009849AC" w:rsidP="009849AC">
            <w:pPr>
              <w:pStyle w:val="Texto"/>
              <w:spacing w:after="84" w:line="217"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Las demás que establezca la Normatividad emitida por la Secretaría.</w:t>
            </w:r>
          </w:p>
        </w:tc>
        <w:tc>
          <w:tcPr>
            <w:tcW w:w="4649" w:type="dxa"/>
          </w:tcPr>
          <w:p w14:paraId="5DB482C8" w14:textId="10949B13"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Others established by the legislation issued by the Secretary.</w:t>
            </w:r>
          </w:p>
        </w:tc>
      </w:tr>
      <w:tr w:rsidR="009849AC" w:rsidRPr="002C0F16" w14:paraId="22EB032A" w14:textId="710A14CF" w:rsidTr="00F867DE">
        <w:tc>
          <w:tcPr>
            <w:tcW w:w="4711" w:type="dxa"/>
          </w:tcPr>
          <w:p w14:paraId="66749E55" w14:textId="77777777" w:rsidR="009849AC" w:rsidRPr="00837D4A" w:rsidRDefault="009849AC" w:rsidP="009849AC">
            <w:pPr>
              <w:pStyle w:val="Texto"/>
              <w:spacing w:after="84" w:line="217" w:lineRule="exact"/>
              <w:ind w:firstLine="0"/>
              <w:rPr>
                <w:rFonts w:ascii="Verdana" w:hAnsi="Verdana"/>
                <w:sz w:val="16"/>
                <w:szCs w:val="16"/>
              </w:rPr>
            </w:pPr>
            <w:r w:rsidRPr="00837D4A">
              <w:rPr>
                <w:rFonts w:ascii="Verdana" w:hAnsi="Verdana"/>
                <w:sz w:val="16"/>
                <w:szCs w:val="16"/>
              </w:rPr>
              <w:t>Si del resultado de la verificación a que se refiere este artículo se advierte un hecho u omisión posiblemente constitutivo de sanción administrativa, la Secretaría debe iniciar el procedimiento de sanción conforme a la Normatividad aplicable.</w:t>
            </w:r>
          </w:p>
        </w:tc>
        <w:tc>
          <w:tcPr>
            <w:tcW w:w="4649" w:type="dxa"/>
          </w:tcPr>
          <w:p w14:paraId="2ACD4774" w14:textId="54BF221B" w:rsidR="009849AC" w:rsidRPr="00837D4A" w:rsidRDefault="009849AC" w:rsidP="009849AC">
            <w:pPr>
              <w:pStyle w:val="Texto"/>
              <w:spacing w:after="84" w:line="217" w:lineRule="exact"/>
              <w:ind w:firstLine="0"/>
              <w:rPr>
                <w:rFonts w:ascii="Verdana" w:hAnsi="Verdana"/>
                <w:sz w:val="16"/>
                <w:szCs w:val="16"/>
                <w:lang w:val="en-US"/>
              </w:rPr>
            </w:pPr>
            <w:r w:rsidRPr="00837D4A">
              <w:rPr>
                <w:rFonts w:ascii="Verdana" w:hAnsi="Verdana"/>
                <w:sz w:val="16"/>
                <w:szCs w:val="16"/>
                <w:lang w:val="en-US"/>
              </w:rPr>
              <w:t>If the result of the verification referred to in this article reveals a fact or omission that could possibly constitute an administrative sanction, the Secretary must initiate the sanction procedure in accordance with the applicable legislation.</w:t>
            </w:r>
          </w:p>
        </w:tc>
      </w:tr>
      <w:tr w:rsidR="009849AC" w:rsidRPr="002C0F16" w14:paraId="6DD863F0" w14:textId="203B0988" w:rsidTr="00F867DE">
        <w:tc>
          <w:tcPr>
            <w:tcW w:w="4711" w:type="dxa"/>
          </w:tcPr>
          <w:p w14:paraId="2CE52565" w14:textId="77777777" w:rsidR="009849AC" w:rsidRPr="00837D4A" w:rsidRDefault="009849AC" w:rsidP="009849AC">
            <w:pPr>
              <w:pStyle w:val="Texto"/>
              <w:spacing w:after="84" w:line="217" w:lineRule="exact"/>
              <w:ind w:firstLine="0"/>
              <w:rPr>
                <w:rFonts w:ascii="Verdana" w:hAnsi="Verdana"/>
                <w:sz w:val="16"/>
                <w:szCs w:val="16"/>
              </w:rPr>
            </w:pPr>
            <w:r w:rsidRPr="00837D4A">
              <w:rPr>
                <w:rFonts w:ascii="Verdana" w:hAnsi="Verdana"/>
                <w:b/>
                <w:sz w:val="16"/>
                <w:szCs w:val="16"/>
              </w:rPr>
              <w:t>Artículo 244.</w:t>
            </w:r>
            <w:r w:rsidRPr="00837D4A">
              <w:rPr>
                <w:rFonts w:ascii="Verdana" w:hAnsi="Verdana"/>
                <w:sz w:val="16"/>
                <w:szCs w:val="16"/>
              </w:rPr>
              <w:t xml:space="preserve"> En el supuesto de que la Manifestación de Impacto Social del Sector Energético no cumpla con los requisitos y criterios previstos en la Ley, el presente ordenamiento y la Normatividad que se emita sobre la materia, la Secretaría debe prevenir a las personas Asignatarias, Contratistas y las personas interesadas en obtener un permiso o una autorización para que en un plazo de treinta días hábiles atienda en tiempo y forma dicha prevención, de conformidad con el artículo 155, fracción II de la Ley.</w:t>
            </w:r>
          </w:p>
        </w:tc>
        <w:tc>
          <w:tcPr>
            <w:tcW w:w="4649" w:type="dxa"/>
          </w:tcPr>
          <w:p w14:paraId="13E95876" w14:textId="75E77598"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Article 244. </w:t>
            </w:r>
            <w:r w:rsidRPr="00837D4A">
              <w:rPr>
                <w:rFonts w:ascii="Verdana" w:hAnsi="Verdana"/>
                <w:sz w:val="16"/>
                <w:szCs w:val="16"/>
                <w:lang w:val="en-US"/>
              </w:rPr>
              <w:t>In the event that the Social Impact Statement of the Energy Sector does not comply with the requirements and criteria provided for in the Law, this ordinance and the legislation issued on the matter, the Secretary must notify the assignees, contractors and persons interested in obtaining a permit or authorization to address said warning in a timely manner and in the correct manner within a period of thirty business days, in accordance with article 155, section II of the Law.</w:t>
            </w:r>
          </w:p>
        </w:tc>
      </w:tr>
      <w:tr w:rsidR="009849AC" w:rsidRPr="002C0F16" w14:paraId="1AE302CD" w14:textId="79F3673A" w:rsidTr="00F867DE">
        <w:tc>
          <w:tcPr>
            <w:tcW w:w="4711" w:type="dxa"/>
          </w:tcPr>
          <w:p w14:paraId="217EDCA2" w14:textId="77777777" w:rsidR="009849AC" w:rsidRPr="00837D4A" w:rsidRDefault="009849AC" w:rsidP="009849AC">
            <w:pPr>
              <w:pStyle w:val="Texto"/>
              <w:spacing w:after="84" w:line="217" w:lineRule="exact"/>
              <w:ind w:firstLine="0"/>
              <w:rPr>
                <w:rFonts w:ascii="Verdana" w:hAnsi="Verdana"/>
                <w:sz w:val="16"/>
                <w:szCs w:val="16"/>
              </w:rPr>
            </w:pPr>
            <w:r w:rsidRPr="00837D4A">
              <w:rPr>
                <w:rFonts w:ascii="Verdana" w:hAnsi="Verdana"/>
                <w:sz w:val="16"/>
                <w:szCs w:val="16"/>
              </w:rPr>
              <w:lastRenderedPageBreak/>
              <w:t>Durante el periodo de prevención se suspende el plazo a que se refiere el artículo 155 de la Ley y 240 de este reglamento. No debe entregarse información adicional a la ya presentada en el desahogo o que no haya sido requerida en dicha prevención, aun y cuando se encuentre dentro del plazo originalmente otorgado para tal efecto.</w:t>
            </w:r>
          </w:p>
        </w:tc>
        <w:tc>
          <w:tcPr>
            <w:tcW w:w="4649" w:type="dxa"/>
          </w:tcPr>
          <w:p w14:paraId="09CC1D66" w14:textId="5B1B5AEB" w:rsidR="009849AC" w:rsidRPr="00837D4A" w:rsidRDefault="009849AC" w:rsidP="009849AC">
            <w:pPr>
              <w:pStyle w:val="Texto"/>
              <w:spacing w:after="84" w:line="217" w:lineRule="exact"/>
              <w:ind w:firstLine="0"/>
              <w:rPr>
                <w:rFonts w:ascii="Verdana" w:hAnsi="Verdana"/>
                <w:sz w:val="16"/>
                <w:szCs w:val="16"/>
                <w:lang w:val="en-US"/>
              </w:rPr>
            </w:pPr>
            <w:r w:rsidRPr="00837D4A">
              <w:rPr>
                <w:rFonts w:ascii="Verdana" w:hAnsi="Verdana"/>
                <w:sz w:val="16"/>
                <w:szCs w:val="16"/>
                <w:lang w:val="en-US"/>
              </w:rPr>
              <w:t>During the prevention period, the deadline referred to in Article 155 of the Law and Article 240 of this Regulation is suspended. No additional information beyond that already submitted in the investigation or that was not requested in the prevention period should be submitted, even if it falls within the period originally granted for that purpose.</w:t>
            </w:r>
          </w:p>
        </w:tc>
      </w:tr>
      <w:tr w:rsidR="009849AC" w:rsidRPr="002C0F16" w14:paraId="23389748" w14:textId="7690994F" w:rsidTr="00F867DE">
        <w:tc>
          <w:tcPr>
            <w:tcW w:w="4711" w:type="dxa"/>
          </w:tcPr>
          <w:p w14:paraId="11EF450C" w14:textId="77777777" w:rsidR="009849AC" w:rsidRPr="00837D4A" w:rsidRDefault="009849AC" w:rsidP="009849AC">
            <w:pPr>
              <w:pStyle w:val="Texto"/>
              <w:spacing w:after="84" w:line="217" w:lineRule="exact"/>
              <w:ind w:firstLine="0"/>
              <w:rPr>
                <w:rFonts w:ascii="Verdana" w:hAnsi="Verdana"/>
                <w:sz w:val="16"/>
                <w:szCs w:val="16"/>
              </w:rPr>
            </w:pPr>
            <w:r w:rsidRPr="00837D4A">
              <w:rPr>
                <w:rFonts w:ascii="Verdana" w:hAnsi="Verdana"/>
                <w:sz w:val="16"/>
                <w:szCs w:val="16"/>
              </w:rPr>
              <w:t>En caso de que no se subsane en tiempo y forma la prevención, el trámite se debe desechar.</w:t>
            </w:r>
          </w:p>
        </w:tc>
        <w:tc>
          <w:tcPr>
            <w:tcW w:w="4649" w:type="dxa"/>
          </w:tcPr>
          <w:p w14:paraId="245661F0" w14:textId="68DE7149" w:rsidR="009849AC" w:rsidRPr="00837D4A" w:rsidRDefault="009849AC" w:rsidP="009849AC">
            <w:pPr>
              <w:pStyle w:val="Texto"/>
              <w:spacing w:after="84" w:line="217" w:lineRule="exact"/>
              <w:ind w:firstLine="0"/>
              <w:rPr>
                <w:rFonts w:ascii="Verdana" w:hAnsi="Verdana"/>
                <w:sz w:val="16"/>
                <w:szCs w:val="16"/>
                <w:lang w:val="en-US"/>
              </w:rPr>
            </w:pPr>
            <w:r w:rsidRPr="00837D4A">
              <w:rPr>
                <w:rFonts w:ascii="Verdana" w:hAnsi="Verdana"/>
                <w:sz w:val="16"/>
                <w:szCs w:val="16"/>
                <w:lang w:val="en-US"/>
              </w:rPr>
              <w:t>If the prevention is not rectified in a timely manner, the procedure must be discarded.</w:t>
            </w:r>
          </w:p>
        </w:tc>
      </w:tr>
      <w:tr w:rsidR="009849AC" w:rsidRPr="002C0F16" w14:paraId="097DD57F" w14:textId="20F7FFF1" w:rsidTr="00F867DE">
        <w:tc>
          <w:tcPr>
            <w:tcW w:w="4711" w:type="dxa"/>
          </w:tcPr>
          <w:p w14:paraId="4D10684B" w14:textId="77777777" w:rsidR="009849AC" w:rsidRPr="00837D4A" w:rsidRDefault="009849AC" w:rsidP="009849AC">
            <w:pPr>
              <w:pStyle w:val="Texto"/>
              <w:spacing w:after="84" w:line="217" w:lineRule="exact"/>
              <w:ind w:firstLine="0"/>
              <w:rPr>
                <w:rFonts w:ascii="Verdana" w:hAnsi="Verdana"/>
                <w:sz w:val="16"/>
                <w:szCs w:val="16"/>
              </w:rPr>
            </w:pPr>
            <w:r w:rsidRPr="00837D4A">
              <w:rPr>
                <w:rFonts w:ascii="Verdana" w:hAnsi="Verdana"/>
                <w:b/>
                <w:sz w:val="16"/>
                <w:szCs w:val="16"/>
              </w:rPr>
              <w:t>Artículo 245.</w:t>
            </w:r>
            <w:r w:rsidRPr="00837D4A">
              <w:rPr>
                <w:rFonts w:ascii="Verdana" w:hAnsi="Verdana"/>
                <w:sz w:val="16"/>
                <w:szCs w:val="16"/>
              </w:rPr>
              <w:t xml:space="preserve"> La Secretaría puede solicitar la opinión técnica de las dependencias o entidades competentes de la Administración Pública Federal, así como de expertos, cuando por las características del proyecto se estime que sus opiniones pueden proveer de mejores elementos para la autorización de la Manifestación de Impacto Social del Sector Energético o su negación. En todos los casos las dependencias o entidades consultadas, tienen un plazo no mayor a quince días hábiles para emitir las opiniones que correspondan. De no emitirse una opinión, la Secretaría debe resolver con la información que tenga integrada al expediente.</w:t>
            </w:r>
          </w:p>
        </w:tc>
        <w:tc>
          <w:tcPr>
            <w:tcW w:w="4649" w:type="dxa"/>
          </w:tcPr>
          <w:p w14:paraId="65228C87" w14:textId="1A4FAE7B" w:rsidR="009849AC" w:rsidRPr="00837D4A" w:rsidRDefault="009849AC" w:rsidP="009849AC">
            <w:pPr>
              <w:pStyle w:val="Texto"/>
              <w:spacing w:after="84" w:line="217" w:lineRule="exact"/>
              <w:ind w:firstLine="0"/>
              <w:rPr>
                <w:rFonts w:ascii="Verdana" w:hAnsi="Verdana"/>
                <w:b/>
                <w:sz w:val="16"/>
                <w:szCs w:val="16"/>
                <w:lang w:val="en-US"/>
              </w:rPr>
            </w:pPr>
            <w:r w:rsidRPr="00837D4A">
              <w:rPr>
                <w:rFonts w:ascii="Verdana" w:hAnsi="Verdana"/>
                <w:b/>
                <w:sz w:val="16"/>
                <w:szCs w:val="16"/>
                <w:lang w:val="en-US"/>
              </w:rPr>
              <w:t xml:space="preserve">Article 245. </w:t>
            </w:r>
            <w:r w:rsidRPr="00837D4A">
              <w:rPr>
                <w:rFonts w:ascii="Verdana" w:hAnsi="Verdana"/>
                <w:sz w:val="16"/>
                <w:szCs w:val="16"/>
                <w:lang w:val="en-US"/>
              </w:rPr>
              <w:t>The Secretary may request technical opinions from the appropriate agencies or entities of the Federal Public Administration, as well as from experts, when, given the characteristics of the project, it is deemed that their opinions may provide better grounds for the authorization of the Energy Sector Social Impact Statement or its denial. In all cases, the agencies or entities consulted have a period of no more than fifteen business days to issue the appropriate opinions. If no opinion is issued, the Secretary must make a decision based on the information included in the file.</w:t>
            </w:r>
          </w:p>
        </w:tc>
      </w:tr>
      <w:tr w:rsidR="009849AC" w:rsidRPr="00D0180E" w14:paraId="73910124" w14:textId="7975F7EC" w:rsidTr="00F867DE">
        <w:tc>
          <w:tcPr>
            <w:tcW w:w="4711" w:type="dxa"/>
          </w:tcPr>
          <w:p w14:paraId="3B743138" w14:textId="77777777" w:rsidR="009849AC" w:rsidRPr="00837D4A" w:rsidRDefault="009849AC" w:rsidP="009849AC">
            <w:pPr>
              <w:pStyle w:val="Texto"/>
              <w:spacing w:line="218" w:lineRule="exact"/>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3DB5139E" w14:textId="5F8B9402" w:rsidR="009849AC" w:rsidRPr="00837D4A" w:rsidRDefault="009849AC" w:rsidP="009849AC">
            <w:pPr>
              <w:pStyle w:val="Texto"/>
              <w:spacing w:line="218" w:lineRule="exact"/>
              <w:ind w:firstLine="0"/>
              <w:jc w:val="center"/>
              <w:rPr>
                <w:rFonts w:ascii="Verdana" w:hAnsi="Verdana"/>
                <w:b/>
                <w:sz w:val="16"/>
                <w:szCs w:val="16"/>
                <w:lang w:val="en-US"/>
              </w:rPr>
            </w:pPr>
            <w:r w:rsidRPr="00837D4A">
              <w:rPr>
                <w:rFonts w:ascii="Verdana" w:hAnsi="Verdana"/>
                <w:b/>
                <w:sz w:val="16"/>
                <w:szCs w:val="16"/>
                <w:lang w:val="en-US"/>
              </w:rPr>
              <w:t>Second Section</w:t>
            </w:r>
          </w:p>
        </w:tc>
      </w:tr>
      <w:tr w:rsidR="009849AC" w:rsidRPr="00D0180E" w14:paraId="322D9A6E" w14:textId="66BE6A0A" w:rsidTr="00F867DE">
        <w:tc>
          <w:tcPr>
            <w:tcW w:w="4711" w:type="dxa"/>
          </w:tcPr>
          <w:p w14:paraId="1CE5AD14" w14:textId="77777777" w:rsidR="009849AC" w:rsidRPr="00837D4A" w:rsidRDefault="009849AC" w:rsidP="009849AC">
            <w:pPr>
              <w:pStyle w:val="Texto"/>
              <w:spacing w:line="218" w:lineRule="exact"/>
              <w:ind w:firstLine="0"/>
              <w:jc w:val="center"/>
              <w:rPr>
                <w:rFonts w:ascii="Verdana" w:hAnsi="Verdana"/>
                <w:b/>
                <w:sz w:val="16"/>
                <w:szCs w:val="16"/>
              </w:rPr>
            </w:pPr>
            <w:r w:rsidRPr="00837D4A">
              <w:rPr>
                <w:rFonts w:ascii="Verdana" w:hAnsi="Verdana"/>
                <w:b/>
                <w:sz w:val="16"/>
                <w:szCs w:val="16"/>
              </w:rPr>
              <w:t>De la Consulta Previa</w:t>
            </w:r>
          </w:p>
        </w:tc>
        <w:tc>
          <w:tcPr>
            <w:tcW w:w="4649" w:type="dxa"/>
          </w:tcPr>
          <w:p w14:paraId="31F6F313" w14:textId="5DE7AD38" w:rsidR="009849AC" w:rsidRPr="00837D4A" w:rsidRDefault="009849AC" w:rsidP="009849AC">
            <w:pPr>
              <w:pStyle w:val="Texto"/>
              <w:spacing w:line="218" w:lineRule="exact"/>
              <w:ind w:firstLine="0"/>
              <w:jc w:val="center"/>
              <w:rPr>
                <w:rFonts w:ascii="Verdana" w:hAnsi="Verdana"/>
                <w:b/>
                <w:sz w:val="16"/>
                <w:szCs w:val="16"/>
                <w:lang w:val="en-US"/>
              </w:rPr>
            </w:pPr>
            <w:r w:rsidRPr="00837D4A">
              <w:rPr>
                <w:rFonts w:ascii="Verdana" w:hAnsi="Verdana"/>
                <w:b/>
                <w:sz w:val="16"/>
                <w:szCs w:val="16"/>
                <w:lang w:val="en-US"/>
              </w:rPr>
              <w:t>Prior Consultation</w:t>
            </w:r>
          </w:p>
        </w:tc>
      </w:tr>
      <w:tr w:rsidR="009849AC" w:rsidRPr="002C0F16" w14:paraId="426D9DA0" w14:textId="69D7F9E4" w:rsidTr="00F867DE">
        <w:tc>
          <w:tcPr>
            <w:tcW w:w="4711" w:type="dxa"/>
          </w:tcPr>
          <w:p w14:paraId="1A8A305A"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Artículo 246.</w:t>
            </w:r>
            <w:r w:rsidRPr="00837D4A">
              <w:rPr>
                <w:rFonts w:ascii="Verdana" w:hAnsi="Verdana"/>
                <w:sz w:val="16"/>
                <w:szCs w:val="16"/>
              </w:rPr>
              <w:t xml:space="preserve"> La Secretaría es la responsable de los procedimientos de Consulta Previa a que se refiere el artículo 151 de la Ley.</w:t>
            </w:r>
          </w:p>
        </w:tc>
        <w:tc>
          <w:tcPr>
            <w:tcW w:w="4649" w:type="dxa"/>
          </w:tcPr>
          <w:p w14:paraId="1D9A7F70" w14:textId="095577A8"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246. </w:t>
            </w:r>
            <w:r w:rsidRPr="00837D4A">
              <w:rPr>
                <w:rFonts w:ascii="Verdana" w:hAnsi="Verdana"/>
                <w:sz w:val="16"/>
                <w:szCs w:val="16"/>
                <w:lang w:val="en-US"/>
              </w:rPr>
              <w:t>The Secretary is responsible for the Prior Consultation procedures referred to in Article 151 of the Law.</w:t>
            </w:r>
          </w:p>
        </w:tc>
      </w:tr>
      <w:tr w:rsidR="009849AC" w:rsidRPr="002C0F16" w14:paraId="24A1BB24" w14:textId="4B17BCD6" w:rsidTr="00F867DE">
        <w:tc>
          <w:tcPr>
            <w:tcW w:w="4711" w:type="dxa"/>
          </w:tcPr>
          <w:p w14:paraId="0244CE0F"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sz w:val="16"/>
                <w:szCs w:val="16"/>
              </w:rPr>
              <w:t>Lo anterior, sin perjuicio de que la Secretaría determine que puedan participar otras dependencias o entidades federales, estatales, municipales o demarcaciones territoriales de la Ciudad de México, en el ámbito de sus respectivas competencias y debe considerar la naturaleza del proyecto a consultar.</w:t>
            </w:r>
          </w:p>
        </w:tc>
        <w:tc>
          <w:tcPr>
            <w:tcW w:w="4649" w:type="dxa"/>
          </w:tcPr>
          <w:p w14:paraId="68B42CB7" w14:textId="4DD2F37E" w:rsidR="009849AC" w:rsidRPr="00837D4A" w:rsidRDefault="009849AC" w:rsidP="009849AC">
            <w:pPr>
              <w:pStyle w:val="Texto"/>
              <w:spacing w:line="218" w:lineRule="exact"/>
              <w:ind w:firstLine="0"/>
              <w:rPr>
                <w:rFonts w:ascii="Verdana" w:hAnsi="Verdana"/>
                <w:sz w:val="16"/>
                <w:szCs w:val="16"/>
                <w:lang w:val="en-US"/>
              </w:rPr>
            </w:pPr>
            <w:r w:rsidRPr="00837D4A">
              <w:rPr>
                <w:rFonts w:ascii="Verdana" w:hAnsi="Verdana"/>
                <w:sz w:val="16"/>
                <w:szCs w:val="16"/>
                <w:lang w:val="en-US"/>
              </w:rPr>
              <w:t>The foregoing is without prejudice to the Secretary determining that other federal, state, municipal agencies or entities, or territorial divisions of Mexico City, may participate within the scope of their respective powers, and must consider the nature of the project to be consulted.</w:t>
            </w:r>
          </w:p>
        </w:tc>
      </w:tr>
      <w:tr w:rsidR="009849AC" w:rsidRPr="002C0F16" w14:paraId="51694313" w14:textId="6324538D" w:rsidTr="00F867DE">
        <w:tc>
          <w:tcPr>
            <w:tcW w:w="4711" w:type="dxa"/>
          </w:tcPr>
          <w:p w14:paraId="6B951591"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 xml:space="preserve">Artículo 247. </w:t>
            </w:r>
            <w:r w:rsidRPr="00837D4A">
              <w:rPr>
                <w:rFonts w:ascii="Verdana" w:hAnsi="Verdana"/>
                <w:sz w:val="16"/>
                <w:szCs w:val="16"/>
              </w:rPr>
              <w:t>La Consulta Previa a pueblos y comunidades indígenas y afromexicanas se debe realizar conforme a los principios previstos en el artículo 2o. de la Constitución Política de los Estados Unidos Mexicanos y demás Normatividad aplicable.</w:t>
            </w:r>
          </w:p>
        </w:tc>
        <w:tc>
          <w:tcPr>
            <w:tcW w:w="4649" w:type="dxa"/>
          </w:tcPr>
          <w:p w14:paraId="03A637B8" w14:textId="7A2FC9E8"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247. </w:t>
            </w:r>
            <w:r w:rsidRPr="00837D4A">
              <w:rPr>
                <w:rFonts w:ascii="Verdana" w:hAnsi="Verdana"/>
                <w:sz w:val="16"/>
                <w:szCs w:val="16"/>
                <w:lang w:val="en-US"/>
              </w:rPr>
              <w:t>Prior Consultation with indigenous and Afro-Mexican peoples and communities must be carried out in accordance with the principles set forth in Article 2 of the Political Constitution of the United Mexican States and other applicable legislation.</w:t>
            </w:r>
          </w:p>
        </w:tc>
      </w:tr>
      <w:tr w:rsidR="009849AC" w:rsidRPr="002C0F16" w14:paraId="6736E3B9" w14:textId="1AB44C1D" w:rsidTr="00F867DE">
        <w:tc>
          <w:tcPr>
            <w:tcW w:w="4711" w:type="dxa"/>
          </w:tcPr>
          <w:p w14:paraId="4E3F2337"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Artículo 248.</w:t>
            </w:r>
            <w:r w:rsidRPr="00837D4A">
              <w:rPr>
                <w:rFonts w:ascii="Verdana" w:hAnsi="Verdana"/>
                <w:sz w:val="16"/>
                <w:szCs w:val="16"/>
              </w:rPr>
              <w:t xml:space="preserve"> La Consulta Previa debe comprender, las siguientes fases generales:</w:t>
            </w:r>
          </w:p>
        </w:tc>
        <w:tc>
          <w:tcPr>
            <w:tcW w:w="4649" w:type="dxa"/>
          </w:tcPr>
          <w:p w14:paraId="11D8A5D7" w14:textId="04E65F29"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248. </w:t>
            </w:r>
            <w:r w:rsidRPr="00837D4A">
              <w:rPr>
                <w:rFonts w:ascii="Verdana" w:hAnsi="Verdana"/>
                <w:sz w:val="16"/>
                <w:szCs w:val="16"/>
                <w:lang w:val="en-US"/>
              </w:rPr>
              <w:t>The Prior Consultation must include the following general phases:</w:t>
            </w:r>
          </w:p>
        </w:tc>
      </w:tr>
      <w:tr w:rsidR="009849AC" w:rsidRPr="002C0F16" w14:paraId="6DF96140" w14:textId="3F5EF083" w:rsidTr="00F867DE">
        <w:tc>
          <w:tcPr>
            <w:tcW w:w="4711" w:type="dxa"/>
          </w:tcPr>
          <w:p w14:paraId="3FCB1BE1"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Plan de consulta: La planificación que lleva a cabo la Secretaría para la realización de la Consulta Previa, y el establecimiento de mecanismos de coordinación con las dependencias y entidades señaladas en el artículo 151 de la Ley y 246 de este reglamento;</w:t>
            </w:r>
          </w:p>
        </w:tc>
        <w:tc>
          <w:tcPr>
            <w:tcW w:w="4649" w:type="dxa"/>
          </w:tcPr>
          <w:p w14:paraId="383DAF67" w14:textId="507DB251"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Consultation Plan: The planning carried out by the Secretary for the implementation of the Prior Consultation, and the establishment of coordination mechanisms with the departments and entities indicated in article 151 of the Law and 246 of this regulation;</w:t>
            </w:r>
          </w:p>
        </w:tc>
      </w:tr>
      <w:tr w:rsidR="009849AC" w:rsidRPr="002C0F16" w14:paraId="1DD45E2C" w14:textId="317EC5C8" w:rsidTr="00F867DE">
        <w:tc>
          <w:tcPr>
            <w:tcW w:w="4711" w:type="dxa"/>
          </w:tcPr>
          <w:p w14:paraId="1314BE47"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Acuerdos previos: Los compromisos que la Secretaría y las autoridades tradicionales o representativas del pueblo o comunidad indígena o afromexicana convienen de manera recíproca sobre la forma en la que se lleve a cabo la Consulta Previa, la cual termina con la suscripción del protocolo de consulta acordado;</w:t>
            </w:r>
          </w:p>
        </w:tc>
        <w:tc>
          <w:tcPr>
            <w:tcW w:w="4649" w:type="dxa"/>
          </w:tcPr>
          <w:p w14:paraId="67764872" w14:textId="79A7E146"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Prior Agreements: The commitments that the Secretary and the traditional or representative authorities of the indigenous or Afro-Mexican people or community reciprocally agree on regarding the manner in which the Prior Consultation is carried out, which ends with the signing of the agreed consultation protocol;</w:t>
            </w:r>
          </w:p>
        </w:tc>
      </w:tr>
      <w:tr w:rsidR="009849AC" w:rsidRPr="002C0F16" w14:paraId="2535AFBD" w14:textId="3FC61F7F" w:rsidTr="00F867DE">
        <w:tc>
          <w:tcPr>
            <w:tcW w:w="4711" w:type="dxa"/>
          </w:tcPr>
          <w:p w14:paraId="772D702F" w14:textId="77777777" w:rsidR="009849AC" w:rsidRPr="00837D4A" w:rsidRDefault="009849AC" w:rsidP="009849AC">
            <w:pPr>
              <w:pStyle w:val="Texto"/>
              <w:spacing w:line="218"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 xml:space="preserve">Informativa: La entrega de información suficiente y culturalmente adecuada a los integrantes </w:t>
            </w:r>
            <w:r w:rsidRPr="00837D4A">
              <w:rPr>
                <w:rFonts w:ascii="Verdana" w:hAnsi="Verdana"/>
                <w:sz w:val="16"/>
                <w:szCs w:val="16"/>
              </w:rPr>
              <w:lastRenderedPageBreak/>
              <w:t>del pueblo o comunidad indígena o afromexicana sobre el proyecto que se somete a Consulta Previa, la cual termina cuando el pueblo o comunidad indígena o afromexicana manifiesta expresamente no requerir información adicional para efectos de su decisión;</w:t>
            </w:r>
          </w:p>
        </w:tc>
        <w:tc>
          <w:tcPr>
            <w:tcW w:w="4649" w:type="dxa"/>
          </w:tcPr>
          <w:p w14:paraId="2EB31C10" w14:textId="50134388"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lastRenderedPageBreak/>
              <w:t xml:space="preserve">III. </w:t>
            </w:r>
            <w:r w:rsidRPr="00837D4A">
              <w:rPr>
                <w:rFonts w:ascii="Verdana" w:hAnsi="Verdana"/>
                <w:b/>
                <w:sz w:val="16"/>
                <w:szCs w:val="16"/>
                <w:lang w:val="en-US"/>
              </w:rPr>
              <w:tab/>
            </w:r>
            <w:r w:rsidRPr="00837D4A">
              <w:rPr>
                <w:rFonts w:ascii="Verdana" w:hAnsi="Verdana"/>
                <w:sz w:val="16"/>
                <w:szCs w:val="16"/>
                <w:lang w:val="en-US"/>
              </w:rPr>
              <w:t xml:space="preserve">Informative: The delivery of sufficient and culturally appropriate information to the members of </w:t>
            </w:r>
            <w:r w:rsidRPr="00837D4A">
              <w:rPr>
                <w:rFonts w:ascii="Verdana" w:hAnsi="Verdana"/>
                <w:sz w:val="16"/>
                <w:szCs w:val="16"/>
                <w:lang w:val="en-US"/>
              </w:rPr>
              <w:lastRenderedPageBreak/>
              <w:t>the indigenous or Afro-Mexican people or community about the project that is subject to Prior Consultation, which ends when the indigenous or Afro-Mexican people or community expressly states that it does not require additional information for the purposes of its decision;</w:t>
            </w:r>
          </w:p>
        </w:tc>
      </w:tr>
      <w:tr w:rsidR="009849AC" w:rsidRPr="002C0F16" w14:paraId="7EE82F53" w14:textId="28484BE2" w:rsidTr="00F867DE">
        <w:tc>
          <w:tcPr>
            <w:tcW w:w="4711" w:type="dxa"/>
          </w:tcPr>
          <w:p w14:paraId="17A3B875"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lastRenderedPageBreak/>
              <w:t>IV.</w:t>
            </w:r>
            <w:r w:rsidRPr="00837D4A">
              <w:rPr>
                <w:rFonts w:ascii="Verdana" w:hAnsi="Verdana"/>
                <w:b/>
                <w:sz w:val="16"/>
                <w:szCs w:val="16"/>
              </w:rPr>
              <w:tab/>
            </w:r>
            <w:r w:rsidRPr="00837D4A">
              <w:rPr>
                <w:rFonts w:ascii="Verdana" w:hAnsi="Verdana"/>
                <w:sz w:val="16"/>
                <w:szCs w:val="16"/>
              </w:rPr>
              <w:t>Deliberativa: El periodo de diálogo que ocurre al interior del pueblo o comunidad indígena o afromexicana para la toma de decisiones sobre el proyecto sometido a Consulta Previa, la cual termina cuando el pueblo o comunidad indígena o afromexicana manifiesta expresamente a la Secretaría haber llegado a una decisión comunitaria, y</w:t>
            </w:r>
          </w:p>
        </w:tc>
        <w:tc>
          <w:tcPr>
            <w:tcW w:w="4649" w:type="dxa"/>
          </w:tcPr>
          <w:p w14:paraId="7893EE2C" w14:textId="4076809C"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Deliberative: The period of dialogue that occurs within the indigenous or Afro-Mexican people or community for decision-making on the project submitted to Prior Consultation, which ends when the indigenous or Afro-Mexican people or community expressly states to the Secretary that it has reached a community decision, and</w:t>
            </w:r>
          </w:p>
        </w:tc>
      </w:tr>
      <w:tr w:rsidR="009849AC" w:rsidRPr="002C0F16" w14:paraId="5A76861D" w14:textId="5E24FC5A" w:rsidTr="00F867DE">
        <w:tc>
          <w:tcPr>
            <w:tcW w:w="4711" w:type="dxa"/>
          </w:tcPr>
          <w:p w14:paraId="2C6C86A7"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Consultiva: La construcción de acuerdos o, según sea el caso, la obtención del consentimiento libre, previo e informado, sobre el desarrollo del proyecto sometido a Consulta Previa, así como la definición de acceso y participación justa y equitativa de los beneficios asociados al proyecto, la cual termina con la suscripción del acta consultiva.</w:t>
            </w:r>
          </w:p>
        </w:tc>
        <w:tc>
          <w:tcPr>
            <w:tcW w:w="4649" w:type="dxa"/>
          </w:tcPr>
          <w:p w14:paraId="4BF1F7F7" w14:textId="7B3918C5"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Consultative: The construction of agreements or, as the case may be, the obtaining of free, prior and informed consent, on the development of the project subject to Prior Consultation, as well as the definition of access and fair and equitable participation in the benefits associated with the project, which ends with the signing of the consultative act.</w:t>
            </w:r>
          </w:p>
        </w:tc>
      </w:tr>
      <w:tr w:rsidR="009849AC" w:rsidRPr="002C0F16" w14:paraId="02501732" w14:textId="1CC28E75" w:rsidTr="00F867DE">
        <w:tc>
          <w:tcPr>
            <w:tcW w:w="4711" w:type="dxa"/>
          </w:tcPr>
          <w:p w14:paraId="1003F163"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sz w:val="16"/>
                <w:szCs w:val="16"/>
              </w:rPr>
              <w:t>Una vez concluida la Consulta Previa, se debe dar seguimiento al cumplimiento de los acuerdos alcanzados conforme al mecanismo que para tal efecto haya definido al pueblo o comunidad indígena o afromexicana en la fase consultiva.</w:t>
            </w:r>
          </w:p>
        </w:tc>
        <w:tc>
          <w:tcPr>
            <w:tcW w:w="4649" w:type="dxa"/>
          </w:tcPr>
          <w:p w14:paraId="6EDFDC2B" w14:textId="58782C9C" w:rsidR="009849AC" w:rsidRPr="00837D4A" w:rsidRDefault="009849AC" w:rsidP="009849AC">
            <w:pPr>
              <w:pStyle w:val="Texto"/>
              <w:spacing w:line="218" w:lineRule="exact"/>
              <w:ind w:firstLine="0"/>
              <w:rPr>
                <w:rFonts w:ascii="Verdana" w:hAnsi="Verdana"/>
                <w:sz w:val="16"/>
                <w:szCs w:val="16"/>
                <w:lang w:val="en-US"/>
              </w:rPr>
            </w:pPr>
            <w:r w:rsidRPr="00837D4A">
              <w:rPr>
                <w:rFonts w:ascii="Verdana" w:hAnsi="Verdana"/>
                <w:sz w:val="16"/>
                <w:szCs w:val="16"/>
                <w:lang w:val="en-US"/>
              </w:rPr>
              <w:t>Once the Prior Consultation is concluded, compliance with the agreements reached must be monitored in accordance with the mechanism defined for this purpose by the Indigenous or Afro-Mexican people or community in the consultative phase.</w:t>
            </w:r>
          </w:p>
        </w:tc>
      </w:tr>
      <w:tr w:rsidR="009849AC" w:rsidRPr="002C0F16" w14:paraId="0956BB82" w14:textId="1D0E4A45" w:rsidTr="00F867DE">
        <w:tc>
          <w:tcPr>
            <w:tcW w:w="4711" w:type="dxa"/>
          </w:tcPr>
          <w:p w14:paraId="55967D6E"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sz w:val="16"/>
                <w:szCs w:val="16"/>
              </w:rPr>
              <w:t>Los acuerdos finales señalados en el acta consultiva, deben ser incorporados dentro del Plan de Gestión Social a que se refiere el artículo 152, fracción IV de la Ley.</w:t>
            </w:r>
          </w:p>
        </w:tc>
        <w:tc>
          <w:tcPr>
            <w:tcW w:w="4649" w:type="dxa"/>
          </w:tcPr>
          <w:p w14:paraId="4843FB3A" w14:textId="15543E02" w:rsidR="009849AC" w:rsidRPr="00837D4A" w:rsidRDefault="009849AC" w:rsidP="009849AC">
            <w:pPr>
              <w:pStyle w:val="Texto"/>
              <w:spacing w:line="218" w:lineRule="exact"/>
              <w:ind w:firstLine="0"/>
              <w:rPr>
                <w:rFonts w:ascii="Verdana" w:hAnsi="Verdana"/>
                <w:sz w:val="16"/>
                <w:szCs w:val="16"/>
                <w:lang w:val="en-US"/>
              </w:rPr>
            </w:pPr>
            <w:r w:rsidRPr="00837D4A">
              <w:rPr>
                <w:rFonts w:ascii="Verdana" w:hAnsi="Verdana"/>
                <w:sz w:val="16"/>
                <w:szCs w:val="16"/>
                <w:lang w:val="en-US"/>
              </w:rPr>
              <w:t>The final agreements outlined in the consultative minutes must be incorporated into the Social Management Plan referred to in Article 152, Section IV of the Law.</w:t>
            </w:r>
          </w:p>
        </w:tc>
      </w:tr>
      <w:tr w:rsidR="009849AC" w:rsidRPr="00D0180E" w14:paraId="2118F9F1" w14:textId="7309C8D1" w:rsidTr="00F867DE">
        <w:tc>
          <w:tcPr>
            <w:tcW w:w="4711" w:type="dxa"/>
          </w:tcPr>
          <w:p w14:paraId="5F642CD6" w14:textId="77777777" w:rsidR="009849AC" w:rsidRPr="00837D4A" w:rsidRDefault="009849AC" w:rsidP="009849AC">
            <w:pPr>
              <w:pStyle w:val="Texto"/>
              <w:spacing w:line="218" w:lineRule="exact"/>
              <w:ind w:firstLine="0"/>
              <w:jc w:val="center"/>
              <w:rPr>
                <w:rFonts w:ascii="Verdana" w:hAnsi="Verdana"/>
                <w:b/>
                <w:sz w:val="16"/>
                <w:szCs w:val="16"/>
              </w:rPr>
            </w:pPr>
            <w:r w:rsidRPr="00837D4A">
              <w:rPr>
                <w:rFonts w:ascii="Verdana" w:hAnsi="Verdana"/>
                <w:b/>
                <w:sz w:val="16"/>
                <w:szCs w:val="16"/>
              </w:rPr>
              <w:t>TÍTULO QUINTO</w:t>
            </w:r>
          </w:p>
        </w:tc>
        <w:tc>
          <w:tcPr>
            <w:tcW w:w="4649" w:type="dxa"/>
          </w:tcPr>
          <w:p w14:paraId="5969F794" w14:textId="319F6DE4" w:rsidR="009849AC" w:rsidRPr="00837D4A" w:rsidRDefault="009849AC" w:rsidP="009849AC">
            <w:pPr>
              <w:pStyle w:val="Texto"/>
              <w:spacing w:line="218" w:lineRule="exact"/>
              <w:ind w:firstLine="0"/>
              <w:jc w:val="center"/>
              <w:rPr>
                <w:rFonts w:ascii="Verdana" w:hAnsi="Verdana"/>
                <w:b/>
                <w:sz w:val="16"/>
                <w:szCs w:val="16"/>
                <w:lang w:val="en-US"/>
              </w:rPr>
            </w:pPr>
            <w:r w:rsidRPr="00837D4A">
              <w:rPr>
                <w:rFonts w:ascii="Verdana" w:hAnsi="Verdana"/>
                <w:b/>
                <w:sz w:val="16"/>
                <w:szCs w:val="16"/>
              </w:rPr>
              <w:t xml:space="preserve">FIFTH TITLE </w:t>
            </w:r>
          </w:p>
        </w:tc>
      </w:tr>
      <w:tr w:rsidR="009849AC" w:rsidRPr="002C0F16" w14:paraId="6FE9B912" w14:textId="514BDA22" w:rsidTr="00F867DE">
        <w:tc>
          <w:tcPr>
            <w:tcW w:w="4711" w:type="dxa"/>
          </w:tcPr>
          <w:p w14:paraId="5639511D" w14:textId="77777777" w:rsidR="009849AC" w:rsidRPr="00837D4A" w:rsidRDefault="009849AC" w:rsidP="009849AC">
            <w:pPr>
              <w:pStyle w:val="Texto"/>
              <w:spacing w:line="218" w:lineRule="exact"/>
              <w:ind w:firstLine="0"/>
              <w:jc w:val="center"/>
              <w:rPr>
                <w:rFonts w:ascii="Verdana" w:hAnsi="Verdana"/>
                <w:b/>
                <w:sz w:val="16"/>
                <w:szCs w:val="16"/>
              </w:rPr>
            </w:pPr>
            <w:r w:rsidRPr="00837D4A">
              <w:rPr>
                <w:rFonts w:ascii="Verdana" w:hAnsi="Verdana"/>
                <w:b/>
                <w:sz w:val="16"/>
                <w:szCs w:val="16"/>
              </w:rPr>
              <w:t>DE LA PLANEACIÓN Y CONTROL DEL SECTOR HIDROCARBUROS</w:t>
            </w:r>
          </w:p>
        </w:tc>
        <w:tc>
          <w:tcPr>
            <w:tcW w:w="4649" w:type="dxa"/>
          </w:tcPr>
          <w:p w14:paraId="65FC1D5F" w14:textId="4C47A0E3" w:rsidR="009849AC" w:rsidRPr="00837D4A" w:rsidRDefault="009849AC" w:rsidP="009849AC">
            <w:pPr>
              <w:pStyle w:val="Texto"/>
              <w:spacing w:line="218" w:lineRule="exact"/>
              <w:ind w:firstLine="0"/>
              <w:jc w:val="center"/>
              <w:rPr>
                <w:rFonts w:ascii="Verdana" w:hAnsi="Verdana"/>
                <w:b/>
                <w:sz w:val="16"/>
                <w:szCs w:val="16"/>
                <w:lang w:val="en-US"/>
              </w:rPr>
            </w:pPr>
            <w:r w:rsidRPr="00837D4A">
              <w:rPr>
                <w:rFonts w:ascii="Verdana" w:hAnsi="Verdana"/>
                <w:b/>
                <w:sz w:val="16"/>
                <w:szCs w:val="16"/>
                <w:lang w:val="en-US"/>
              </w:rPr>
              <w:t>PLANNING AND CONTROL OF THE HYDROCARBON SECTOR</w:t>
            </w:r>
          </w:p>
        </w:tc>
      </w:tr>
      <w:tr w:rsidR="009849AC" w:rsidRPr="00D0180E" w14:paraId="37E46FD2" w14:textId="13FFA93F" w:rsidTr="00F867DE">
        <w:tc>
          <w:tcPr>
            <w:tcW w:w="4711" w:type="dxa"/>
          </w:tcPr>
          <w:p w14:paraId="746DEB2F" w14:textId="77777777" w:rsidR="009849AC" w:rsidRPr="00837D4A" w:rsidRDefault="009849AC" w:rsidP="009849AC">
            <w:pPr>
              <w:pStyle w:val="Texto"/>
              <w:spacing w:line="218" w:lineRule="exact"/>
              <w:ind w:firstLine="0"/>
              <w:jc w:val="center"/>
              <w:rPr>
                <w:rFonts w:ascii="Verdana" w:hAnsi="Verdana"/>
                <w:b/>
                <w:sz w:val="16"/>
                <w:szCs w:val="16"/>
              </w:rPr>
            </w:pPr>
            <w:r w:rsidRPr="00837D4A">
              <w:rPr>
                <w:rFonts w:ascii="Verdana" w:hAnsi="Verdana"/>
                <w:b/>
                <w:sz w:val="16"/>
                <w:szCs w:val="16"/>
              </w:rPr>
              <w:t>Capítulo I</w:t>
            </w:r>
          </w:p>
        </w:tc>
        <w:tc>
          <w:tcPr>
            <w:tcW w:w="4649" w:type="dxa"/>
          </w:tcPr>
          <w:p w14:paraId="520C804C" w14:textId="6730F86F" w:rsidR="009849AC" w:rsidRPr="00837D4A" w:rsidRDefault="009849AC" w:rsidP="009849AC">
            <w:pPr>
              <w:pStyle w:val="Texto"/>
              <w:spacing w:line="218" w:lineRule="exact"/>
              <w:ind w:firstLine="0"/>
              <w:jc w:val="center"/>
              <w:rPr>
                <w:rFonts w:ascii="Verdana" w:hAnsi="Verdana"/>
                <w:b/>
                <w:sz w:val="16"/>
                <w:szCs w:val="16"/>
                <w:lang w:val="en-US"/>
              </w:rPr>
            </w:pPr>
            <w:r w:rsidRPr="00837D4A">
              <w:rPr>
                <w:rFonts w:ascii="Verdana" w:hAnsi="Verdana"/>
                <w:b/>
                <w:sz w:val="16"/>
                <w:szCs w:val="16"/>
                <w:lang w:val="en-US"/>
              </w:rPr>
              <w:t>Chapter I</w:t>
            </w:r>
          </w:p>
        </w:tc>
      </w:tr>
      <w:tr w:rsidR="009849AC" w:rsidRPr="002C0F16" w14:paraId="68F8E566" w14:textId="44A2B61B" w:rsidTr="00F867DE">
        <w:tc>
          <w:tcPr>
            <w:tcW w:w="4711" w:type="dxa"/>
          </w:tcPr>
          <w:p w14:paraId="51A2ADF8" w14:textId="77777777" w:rsidR="009849AC" w:rsidRPr="00837D4A" w:rsidRDefault="009849AC" w:rsidP="009849AC">
            <w:pPr>
              <w:pStyle w:val="Texto"/>
              <w:spacing w:line="218" w:lineRule="exact"/>
              <w:ind w:firstLine="0"/>
              <w:jc w:val="center"/>
              <w:rPr>
                <w:rFonts w:ascii="Verdana" w:hAnsi="Verdana"/>
                <w:b/>
                <w:sz w:val="16"/>
                <w:szCs w:val="16"/>
              </w:rPr>
            </w:pPr>
            <w:r w:rsidRPr="00837D4A">
              <w:rPr>
                <w:rFonts w:ascii="Verdana" w:hAnsi="Verdana"/>
                <w:b/>
                <w:sz w:val="16"/>
                <w:szCs w:val="16"/>
              </w:rPr>
              <w:t>De la Planeación del Sector Hidrocarburos</w:t>
            </w:r>
          </w:p>
        </w:tc>
        <w:tc>
          <w:tcPr>
            <w:tcW w:w="4649" w:type="dxa"/>
          </w:tcPr>
          <w:p w14:paraId="31310320" w14:textId="5697F208" w:rsidR="009849AC" w:rsidRPr="00837D4A" w:rsidRDefault="009849AC" w:rsidP="009849AC">
            <w:pPr>
              <w:pStyle w:val="Texto"/>
              <w:spacing w:line="218" w:lineRule="exact"/>
              <w:ind w:firstLine="0"/>
              <w:jc w:val="center"/>
              <w:rPr>
                <w:rFonts w:ascii="Verdana" w:hAnsi="Verdana"/>
                <w:b/>
                <w:sz w:val="16"/>
                <w:szCs w:val="16"/>
                <w:lang w:val="en-US"/>
              </w:rPr>
            </w:pPr>
            <w:r w:rsidRPr="00837D4A">
              <w:rPr>
                <w:rFonts w:ascii="Verdana" w:hAnsi="Verdana"/>
                <w:b/>
                <w:sz w:val="16"/>
                <w:szCs w:val="16"/>
                <w:lang w:val="en-US"/>
              </w:rPr>
              <w:t>Planning of the Hydrocarbon Sector</w:t>
            </w:r>
          </w:p>
        </w:tc>
      </w:tr>
      <w:tr w:rsidR="009849AC" w:rsidRPr="002C0F16" w14:paraId="2ABC352C" w14:textId="4051A9E2" w:rsidTr="00F867DE">
        <w:tc>
          <w:tcPr>
            <w:tcW w:w="4711" w:type="dxa"/>
          </w:tcPr>
          <w:p w14:paraId="2F855FE2"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 xml:space="preserve">Artículo 249. </w:t>
            </w:r>
            <w:r w:rsidRPr="00837D4A">
              <w:rPr>
                <w:rFonts w:ascii="Verdana" w:hAnsi="Verdana"/>
                <w:sz w:val="16"/>
                <w:szCs w:val="16"/>
              </w:rPr>
              <w:t>Por lo que hace a lo establecido en el Título Primero, Capítulo II de la Ley, se debe estar a lo previsto en la Ley de Planeación y Transición Energética y su reglamento, en este reglamento y demás Normatividad en la materia que al efecto emita la Secretaría.</w:t>
            </w:r>
          </w:p>
        </w:tc>
        <w:tc>
          <w:tcPr>
            <w:tcW w:w="4649" w:type="dxa"/>
          </w:tcPr>
          <w:p w14:paraId="17EF12FA" w14:textId="20C0F38A"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249. </w:t>
            </w:r>
            <w:r w:rsidRPr="00837D4A">
              <w:rPr>
                <w:rFonts w:ascii="Verdana" w:hAnsi="Verdana"/>
                <w:sz w:val="16"/>
                <w:szCs w:val="16"/>
                <w:lang w:val="en-US"/>
              </w:rPr>
              <w:t>With regard to the provisions of the First Title, Chapter II of the Law, the provisions of the Law of Energy Planning and Transition and its Regulation, this Regulation and other relevant legislation issued by the Secretary for this purpose must be observed.</w:t>
            </w:r>
          </w:p>
        </w:tc>
      </w:tr>
      <w:tr w:rsidR="009849AC" w:rsidRPr="002C0F16" w14:paraId="5EC3E784" w14:textId="49B7CC6C" w:rsidTr="00F867DE">
        <w:tc>
          <w:tcPr>
            <w:tcW w:w="4711" w:type="dxa"/>
          </w:tcPr>
          <w:p w14:paraId="1150AB2F"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 xml:space="preserve">Artículo 250. </w:t>
            </w:r>
            <w:r w:rsidRPr="00837D4A">
              <w:rPr>
                <w:rFonts w:ascii="Verdana" w:hAnsi="Verdana"/>
                <w:sz w:val="16"/>
                <w:szCs w:val="16"/>
              </w:rPr>
              <w:t>La Secretaría y la Comisión para el otorgamiento de Asignaciones, Contratos, permisos y autorizaciones, en el ámbito de sus competencias, deben considerar lo establecido en los instrumentos de planeación del sector energético aplicables y el cumplimiento de las disposiciones administrativas de carácter general para la planeación vinculante que expida la Secretaría.</w:t>
            </w:r>
          </w:p>
        </w:tc>
        <w:tc>
          <w:tcPr>
            <w:tcW w:w="4649" w:type="dxa"/>
          </w:tcPr>
          <w:p w14:paraId="2B2A2FA4" w14:textId="642E27B8"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t xml:space="preserve">Article 250. </w:t>
            </w:r>
            <w:r w:rsidRPr="00837D4A">
              <w:rPr>
                <w:rFonts w:ascii="Verdana" w:hAnsi="Verdana"/>
                <w:sz w:val="16"/>
                <w:szCs w:val="16"/>
                <w:lang w:val="en-US"/>
              </w:rPr>
              <w:t>The Secretary and the Commission for the granting of assignments, contracts, permits and authorizations, within the scope of their powers, must consider the provisions established in the applicable energy sector planning instruments and compliance with the general administrative provisions for binding planning issued by the Secretary.</w:t>
            </w:r>
          </w:p>
        </w:tc>
      </w:tr>
      <w:tr w:rsidR="009849AC" w:rsidRPr="002C0F16" w14:paraId="2FF69D0A" w14:textId="0C726958" w:rsidTr="00F867DE">
        <w:tc>
          <w:tcPr>
            <w:tcW w:w="4711" w:type="dxa"/>
          </w:tcPr>
          <w:p w14:paraId="1C958AB2"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b/>
                <w:sz w:val="16"/>
                <w:szCs w:val="16"/>
              </w:rPr>
              <w:t xml:space="preserve">Artículo 251. </w:t>
            </w:r>
            <w:r w:rsidRPr="00837D4A">
              <w:rPr>
                <w:rFonts w:ascii="Verdana" w:hAnsi="Verdana"/>
                <w:sz w:val="16"/>
                <w:szCs w:val="16"/>
              </w:rPr>
              <w:t xml:space="preserve">Las disposiciones administrativas de carácter general referidas en el artículo anterior deben establecer, al menos, los criterios para evaluar el cumplimiento de la planeación vinculante para el </w:t>
            </w:r>
            <w:r w:rsidRPr="00837D4A">
              <w:rPr>
                <w:rFonts w:ascii="Verdana" w:hAnsi="Verdana"/>
                <w:sz w:val="16"/>
                <w:szCs w:val="16"/>
              </w:rPr>
              <w:lastRenderedPageBreak/>
              <w:t>otorgamiento de Asignaciones, Contratos, permisos y autorizaciones del sector hidrocarburos.</w:t>
            </w:r>
          </w:p>
        </w:tc>
        <w:tc>
          <w:tcPr>
            <w:tcW w:w="4649" w:type="dxa"/>
          </w:tcPr>
          <w:p w14:paraId="1C400261" w14:textId="4755A9AD" w:rsidR="009849AC" w:rsidRPr="00837D4A" w:rsidRDefault="009849AC" w:rsidP="009849AC">
            <w:pPr>
              <w:pStyle w:val="Texto"/>
              <w:spacing w:line="218"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251. </w:t>
            </w:r>
            <w:r w:rsidRPr="00837D4A">
              <w:rPr>
                <w:rFonts w:ascii="Verdana" w:hAnsi="Verdana"/>
                <w:sz w:val="16"/>
                <w:szCs w:val="16"/>
                <w:lang w:val="en-US"/>
              </w:rPr>
              <w:t xml:space="preserve">The general administrative provisions referred to in the preceding article must establish, at least, the criteria for evaluating compliance with binding planning for the granting of assignments, </w:t>
            </w:r>
            <w:r w:rsidRPr="00837D4A">
              <w:rPr>
                <w:rFonts w:ascii="Verdana" w:hAnsi="Verdana"/>
                <w:sz w:val="16"/>
                <w:szCs w:val="16"/>
                <w:lang w:val="en-US"/>
              </w:rPr>
              <w:lastRenderedPageBreak/>
              <w:t>contracts, permits and authorizations in the hydrocarbon sector.</w:t>
            </w:r>
          </w:p>
        </w:tc>
      </w:tr>
      <w:tr w:rsidR="009849AC" w:rsidRPr="002C0F16" w14:paraId="6E0FCDE3" w14:textId="5EA7F98F" w:rsidTr="00F867DE">
        <w:tc>
          <w:tcPr>
            <w:tcW w:w="4711" w:type="dxa"/>
          </w:tcPr>
          <w:p w14:paraId="22F36253" w14:textId="77777777" w:rsidR="009849AC" w:rsidRPr="00837D4A" w:rsidRDefault="009849AC" w:rsidP="009849AC">
            <w:pPr>
              <w:pStyle w:val="Texto"/>
              <w:spacing w:line="218" w:lineRule="exact"/>
              <w:ind w:firstLine="0"/>
              <w:rPr>
                <w:rFonts w:ascii="Verdana" w:hAnsi="Verdana"/>
                <w:sz w:val="16"/>
                <w:szCs w:val="16"/>
              </w:rPr>
            </w:pPr>
            <w:r w:rsidRPr="00837D4A">
              <w:rPr>
                <w:rFonts w:ascii="Verdana" w:hAnsi="Verdana"/>
                <w:sz w:val="16"/>
                <w:szCs w:val="16"/>
              </w:rPr>
              <w:lastRenderedPageBreak/>
              <w:t>Los criterios deben ser consistentes con lo establecido en el artículo 2 de la Ley de Planeación y Transición Energética, el artículo 8 de la Ley y en los instrumentos de planeación del sector energético aplicables.</w:t>
            </w:r>
          </w:p>
        </w:tc>
        <w:tc>
          <w:tcPr>
            <w:tcW w:w="4649" w:type="dxa"/>
          </w:tcPr>
          <w:p w14:paraId="6D1DD73C" w14:textId="45A4927C" w:rsidR="009849AC" w:rsidRPr="00837D4A" w:rsidRDefault="009849AC" w:rsidP="009849AC">
            <w:pPr>
              <w:pStyle w:val="Texto"/>
              <w:spacing w:line="218" w:lineRule="exact"/>
              <w:ind w:firstLine="0"/>
              <w:rPr>
                <w:rFonts w:ascii="Verdana" w:hAnsi="Verdana"/>
                <w:sz w:val="16"/>
                <w:szCs w:val="16"/>
                <w:lang w:val="en-US"/>
              </w:rPr>
            </w:pPr>
            <w:r w:rsidRPr="00837D4A">
              <w:rPr>
                <w:rFonts w:ascii="Verdana" w:hAnsi="Verdana"/>
                <w:sz w:val="16"/>
                <w:szCs w:val="16"/>
                <w:lang w:val="en-US"/>
              </w:rPr>
              <w:t>The criteria must be consistent with the provisions of Article 2 of the Law of Energy Planning and Transition, Article 8 of the Law, and in the applicable energy sector planning instruments.</w:t>
            </w:r>
          </w:p>
        </w:tc>
      </w:tr>
      <w:tr w:rsidR="009849AC" w:rsidRPr="00D0180E" w14:paraId="78FF0FA1" w14:textId="2CD71567" w:rsidTr="00F867DE">
        <w:tc>
          <w:tcPr>
            <w:tcW w:w="4711" w:type="dxa"/>
          </w:tcPr>
          <w:p w14:paraId="6F5A5F18"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Capítulo II</w:t>
            </w:r>
          </w:p>
        </w:tc>
        <w:tc>
          <w:tcPr>
            <w:tcW w:w="4649" w:type="dxa"/>
          </w:tcPr>
          <w:p w14:paraId="525CECF4" w14:textId="7F579A2E"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Chapter II</w:t>
            </w:r>
          </w:p>
        </w:tc>
      </w:tr>
      <w:tr w:rsidR="009849AC" w:rsidRPr="002C0F16" w14:paraId="79B9BF0B" w14:textId="51FB32FE" w:rsidTr="00F867DE">
        <w:tc>
          <w:tcPr>
            <w:tcW w:w="4711" w:type="dxa"/>
          </w:tcPr>
          <w:p w14:paraId="6C0793B0"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Del Consejo Consultivo para el Fomento de la Industria de Hidrocarburos Nacional</w:t>
            </w:r>
          </w:p>
        </w:tc>
        <w:tc>
          <w:tcPr>
            <w:tcW w:w="4649" w:type="dxa"/>
          </w:tcPr>
          <w:p w14:paraId="2CE018C2" w14:textId="55946627"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Advisory Council for the Promotion of the National Hydrocarbon Industry</w:t>
            </w:r>
          </w:p>
        </w:tc>
      </w:tr>
      <w:tr w:rsidR="009849AC" w:rsidRPr="009E69D6" w14:paraId="52E1AFE5" w14:textId="2C22A631" w:rsidTr="00F867DE">
        <w:tc>
          <w:tcPr>
            <w:tcW w:w="4711" w:type="dxa"/>
          </w:tcPr>
          <w:p w14:paraId="65E30FCA"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252.</w:t>
            </w:r>
            <w:r w:rsidRPr="00837D4A">
              <w:rPr>
                <w:rFonts w:ascii="Verdana" w:hAnsi="Verdana"/>
                <w:sz w:val="16"/>
                <w:szCs w:val="16"/>
              </w:rPr>
              <w:t xml:space="preserve"> El Consejo Consultivo es un órgano colegiado que tiene por objeto apoyar el fomento de las Cadenas Productivas locales y regionales relativas a la Industria de Hidrocarburos y las relacionadas con el sector energético, el cual se integra por personas funcionarias con voz y voto:</w:t>
            </w:r>
          </w:p>
        </w:tc>
        <w:tc>
          <w:tcPr>
            <w:tcW w:w="4649" w:type="dxa"/>
          </w:tcPr>
          <w:p w14:paraId="484E65DD" w14:textId="70ED0115"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252. </w:t>
            </w:r>
            <w:r w:rsidRPr="00837D4A">
              <w:rPr>
                <w:rFonts w:ascii="Verdana" w:hAnsi="Verdana"/>
                <w:sz w:val="16"/>
                <w:szCs w:val="16"/>
                <w:lang w:val="en-US"/>
              </w:rPr>
              <w:t>The Advisory Council is a collegiate body whose purpose is to support the development of local and regional production chains related to the hydrocarbon industry and those related to the energy sector. It is made up of public officials with voice and vote:</w:t>
            </w:r>
          </w:p>
        </w:tc>
      </w:tr>
      <w:tr w:rsidR="009849AC" w:rsidRPr="009E69D6" w14:paraId="3C573D55" w14:textId="02A6B4BE" w:rsidTr="00F867DE">
        <w:tc>
          <w:tcPr>
            <w:tcW w:w="4711" w:type="dxa"/>
          </w:tcPr>
          <w:p w14:paraId="3725B32B"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Una persona representante de la Secretaría de Economía, quien lo preside;</w:t>
            </w:r>
          </w:p>
        </w:tc>
        <w:tc>
          <w:tcPr>
            <w:tcW w:w="4649" w:type="dxa"/>
          </w:tcPr>
          <w:p w14:paraId="50708E40" w14:textId="4E5711A3"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 representative of the Secretary of Economy, who presides over it;</w:t>
            </w:r>
          </w:p>
        </w:tc>
      </w:tr>
      <w:tr w:rsidR="009849AC" w:rsidRPr="009E69D6" w14:paraId="08BEC45C" w14:textId="090E140F" w:rsidTr="00F867DE">
        <w:tc>
          <w:tcPr>
            <w:tcW w:w="4711" w:type="dxa"/>
          </w:tcPr>
          <w:p w14:paraId="79D8AF01"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Una persona representante de la Secretaría, y</w:t>
            </w:r>
          </w:p>
        </w:tc>
        <w:tc>
          <w:tcPr>
            <w:tcW w:w="4649" w:type="dxa"/>
          </w:tcPr>
          <w:p w14:paraId="7C242FA7" w14:textId="777E7A1A"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A representative of the Secretary, and</w:t>
            </w:r>
          </w:p>
        </w:tc>
      </w:tr>
      <w:tr w:rsidR="009849AC" w:rsidRPr="009E69D6" w14:paraId="5261BCD9" w14:textId="13452051" w:rsidTr="00F867DE">
        <w:tc>
          <w:tcPr>
            <w:tcW w:w="4711" w:type="dxa"/>
          </w:tcPr>
          <w:p w14:paraId="197FAECD"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Una persona representante de la Comisión.</w:t>
            </w:r>
          </w:p>
        </w:tc>
        <w:tc>
          <w:tcPr>
            <w:tcW w:w="4649" w:type="dxa"/>
          </w:tcPr>
          <w:p w14:paraId="5DF586A3" w14:textId="2E57E7B1"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A representative of the Commission.</w:t>
            </w:r>
          </w:p>
        </w:tc>
      </w:tr>
      <w:tr w:rsidR="009849AC" w:rsidRPr="009E69D6" w14:paraId="51189A6A" w14:textId="2F3AF26F" w:rsidTr="00F867DE">
        <w:tc>
          <w:tcPr>
            <w:tcW w:w="4711" w:type="dxa"/>
          </w:tcPr>
          <w:p w14:paraId="0A96AA8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Como miembros del Consejo Consultivo asisten con voz, pero sin voto, las personas representantes del sector académico, de investigación y tecnología; incluidos los institutos sectorizados, las personas representantes del sector privado o de la industria, además de al menos tres personas representantes de las cámaras u organizaciones empresariales que cuenten con presencia a nivel nacional, las cuales son determinadas por la persona titular de la Secretaría de Economía.</w:t>
            </w:r>
          </w:p>
        </w:tc>
        <w:tc>
          <w:tcPr>
            <w:tcW w:w="4649" w:type="dxa"/>
          </w:tcPr>
          <w:p w14:paraId="0373504A" w14:textId="0993719D"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As members of the Advisory Council attend with voice, but without vote, the representatives of the academic, research, and technology sectors, including specialized institutes, representatives of the private sector, or industry, as well as at least three representatives of chambers or business organizations with a national presence, appointed by the head of the Secretary of Economy, attend the Advisory Council with voice but no vote.</w:t>
            </w:r>
          </w:p>
        </w:tc>
      </w:tr>
      <w:tr w:rsidR="009849AC" w:rsidRPr="009E69D6" w14:paraId="75A0508D" w14:textId="79DBD0B1" w:rsidTr="00F867DE">
        <w:tc>
          <w:tcPr>
            <w:tcW w:w="4711" w:type="dxa"/>
          </w:tcPr>
          <w:p w14:paraId="37E8B62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Como invitadas permanentes pueden asistir las personas representantes de las dependencias o entidades de la Administración Pública Federal y Estatal y las personas representantes del sector privado que determine la persona titular de la presidencia del Consejo Consultivo.</w:t>
            </w:r>
          </w:p>
        </w:tc>
        <w:tc>
          <w:tcPr>
            <w:tcW w:w="4649" w:type="dxa"/>
          </w:tcPr>
          <w:p w14:paraId="00E1FDC8" w14:textId="712CC163"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Representatives of federal and state public administration agencies or entities, as well as representatives of the private sector, as determined by the president of the Advisory Council, may attend as permanent guests.</w:t>
            </w:r>
          </w:p>
        </w:tc>
      </w:tr>
      <w:tr w:rsidR="009849AC" w:rsidRPr="009E69D6" w14:paraId="6C49C080" w14:textId="78D18F49" w:rsidTr="00F867DE">
        <w:tc>
          <w:tcPr>
            <w:tcW w:w="4711" w:type="dxa"/>
          </w:tcPr>
          <w:p w14:paraId="223F2A62"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El Consejo Consultivo, a propuesta de la persona titular de la presidencia, emite los lineamientos que regulen su funcionamiento, los cuales se aprueban y ratifican por el Consejo Consultivo en pleno.</w:t>
            </w:r>
          </w:p>
        </w:tc>
        <w:tc>
          <w:tcPr>
            <w:tcW w:w="4649" w:type="dxa"/>
          </w:tcPr>
          <w:p w14:paraId="1A72D51D" w14:textId="5D03E5FA"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Advisory Council, at the proposal of the president, issues guidelines governing its operation, which are approved and ratified by the full Advisory Council.</w:t>
            </w:r>
          </w:p>
        </w:tc>
      </w:tr>
      <w:tr w:rsidR="009849AC" w:rsidRPr="009E69D6" w14:paraId="711E518F" w14:textId="426686A3" w:rsidTr="00F867DE">
        <w:tc>
          <w:tcPr>
            <w:tcW w:w="4711" w:type="dxa"/>
          </w:tcPr>
          <w:p w14:paraId="646AD29A"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persona titular de la presidencia del Consejo Consultivo debe tener nivel mínimo de titular de Subsecretaría o su equivalente, quien puede tener un suplente que sea una persona servidora pública con nivel mínimo de titular de Dirección General o equivalente.</w:t>
            </w:r>
          </w:p>
        </w:tc>
        <w:tc>
          <w:tcPr>
            <w:tcW w:w="4649" w:type="dxa"/>
          </w:tcPr>
          <w:p w14:paraId="7247F188" w14:textId="113F7FA6"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person holding the presidency of the Advisory Council must hold a minimum level of Undersecretary or equivalent and may have a substitute who is a public servant with a minimum level of Director General or equivalent.</w:t>
            </w:r>
          </w:p>
        </w:tc>
      </w:tr>
      <w:tr w:rsidR="009849AC" w:rsidRPr="009E69D6" w14:paraId="3053093B" w14:textId="4D09D1D6" w:rsidTr="00F867DE">
        <w:tc>
          <w:tcPr>
            <w:tcW w:w="4711" w:type="dxa"/>
          </w:tcPr>
          <w:p w14:paraId="332BBF3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Las personas representantes de la Administración Pública Federal que integren el Consejo Consultivo deben tener nivel mínimo de titular de Subsecretaría o equivalente y pueden tener suplentes que sean personas servidoras públicas del nivel inmediato inferior.</w:t>
            </w:r>
          </w:p>
        </w:tc>
        <w:tc>
          <w:tcPr>
            <w:tcW w:w="4649" w:type="dxa"/>
          </w:tcPr>
          <w:p w14:paraId="0CC3DA15" w14:textId="3C244BC0"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Representatives of the Federal Public Administration who make up the Advisory Council must hold a minimum level of Undersecretary or equivalent and may have alternates who are public servants at the next lower level.</w:t>
            </w:r>
          </w:p>
        </w:tc>
      </w:tr>
      <w:tr w:rsidR="009849AC" w:rsidRPr="009E69D6" w14:paraId="1CBFF384" w14:textId="50921B37" w:rsidTr="00F867DE">
        <w:tc>
          <w:tcPr>
            <w:tcW w:w="4711" w:type="dxa"/>
          </w:tcPr>
          <w:p w14:paraId="7C95E00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 xml:space="preserve">Las personas representantes de los sectores académico, privado o de la industria que integran el Consejo </w:t>
            </w:r>
            <w:r w:rsidRPr="00837D4A">
              <w:rPr>
                <w:rFonts w:ascii="Verdana" w:hAnsi="Verdana"/>
                <w:sz w:val="16"/>
                <w:szCs w:val="16"/>
              </w:rPr>
              <w:lastRenderedPageBreak/>
              <w:t>Consultivo son suplidos por las personas de reconocida trayectoria laboral o académica en el sector energético que ellos designen.</w:t>
            </w:r>
          </w:p>
        </w:tc>
        <w:tc>
          <w:tcPr>
            <w:tcW w:w="4649" w:type="dxa"/>
          </w:tcPr>
          <w:p w14:paraId="102AE0AE" w14:textId="577AD9CB"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lastRenderedPageBreak/>
              <w:t xml:space="preserve">Representatives of the academic, private, and industrial sectors who make up the Advisory Council are replaced </w:t>
            </w:r>
            <w:r w:rsidRPr="00837D4A">
              <w:rPr>
                <w:rFonts w:ascii="Verdana" w:hAnsi="Verdana"/>
                <w:sz w:val="16"/>
                <w:szCs w:val="16"/>
                <w:lang w:val="en-US"/>
              </w:rPr>
              <w:lastRenderedPageBreak/>
              <w:t>by individuals of their choice with recognized professional or academic experience in the energy sector.</w:t>
            </w:r>
          </w:p>
        </w:tc>
      </w:tr>
      <w:tr w:rsidR="009849AC" w:rsidRPr="009E69D6" w14:paraId="5DAD8E9D" w14:textId="57FA2291" w:rsidTr="00F867DE">
        <w:tc>
          <w:tcPr>
            <w:tcW w:w="4711" w:type="dxa"/>
          </w:tcPr>
          <w:p w14:paraId="0AEDBE63"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lastRenderedPageBreak/>
              <w:t>El Consejo Consultivo cuenta con una persona secretaria técnica con nivel mínimo de titular de dirección de área, quien se encarga de emitir las convocatorias para las sesiones del Consejo Consultivo, levantar las actas correspondientes, así como dar seguimiento a los acuerdos que se adopten y ser el órgano ejecutor de las decisiones que tome el Consejo Consultivo.</w:t>
            </w:r>
          </w:p>
        </w:tc>
        <w:tc>
          <w:tcPr>
            <w:tcW w:w="4649" w:type="dxa"/>
          </w:tcPr>
          <w:p w14:paraId="320CE6B9" w14:textId="1F0220CE"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Advisory Council has a technical secretary with at least the rank of a departmental director. The secretary is responsible for issuing the calls for Advisory Council meetings, recording the corresponding minutes, following up on the agreements adopted, and acting as the executive body for the decisions made by the Advisory Council.</w:t>
            </w:r>
          </w:p>
        </w:tc>
      </w:tr>
      <w:tr w:rsidR="009849AC" w:rsidRPr="009E69D6" w14:paraId="03490CCE" w14:textId="33FC1D13" w:rsidTr="00F867DE">
        <w:tc>
          <w:tcPr>
            <w:tcW w:w="4711" w:type="dxa"/>
          </w:tcPr>
          <w:p w14:paraId="6645152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253.</w:t>
            </w:r>
            <w:r w:rsidRPr="00837D4A">
              <w:rPr>
                <w:rFonts w:ascii="Verdana" w:hAnsi="Verdana"/>
                <w:sz w:val="16"/>
                <w:szCs w:val="16"/>
              </w:rPr>
              <w:t xml:space="preserve"> El Consejo Consultivo sesiona válidamente con la presencia de sus tres miembros y sus decisiones son adoptadas por mayoría de votos.</w:t>
            </w:r>
          </w:p>
        </w:tc>
        <w:tc>
          <w:tcPr>
            <w:tcW w:w="4649" w:type="dxa"/>
          </w:tcPr>
          <w:p w14:paraId="69F441E2" w14:textId="2FB1536E"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253. </w:t>
            </w:r>
            <w:r w:rsidRPr="00837D4A">
              <w:rPr>
                <w:rFonts w:ascii="Verdana" w:hAnsi="Verdana"/>
                <w:sz w:val="16"/>
                <w:szCs w:val="16"/>
                <w:lang w:val="en-US"/>
              </w:rPr>
              <w:t>The Advisory Council meets validly with the presence of its three members and its decisions are adopted by majority vote.</w:t>
            </w:r>
          </w:p>
        </w:tc>
      </w:tr>
      <w:tr w:rsidR="009849AC" w:rsidRPr="009E69D6" w14:paraId="65739FE5" w14:textId="5A906F17" w:rsidTr="00F867DE">
        <w:tc>
          <w:tcPr>
            <w:tcW w:w="4711" w:type="dxa"/>
          </w:tcPr>
          <w:p w14:paraId="247CDE9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Las sesiones pueden ser ordinarias o extraordinarias. Las primeras se llevan a cabo, una vez instalado el Consejo, al menos tres veces por año. Las extraordinarias se llevan a cabo en cualquier tiempo a juicio de la persona titular de la presidencia del Consejo Consultivo.</w:t>
            </w:r>
          </w:p>
        </w:tc>
        <w:tc>
          <w:tcPr>
            <w:tcW w:w="4649" w:type="dxa"/>
          </w:tcPr>
          <w:p w14:paraId="7202A616" w14:textId="7EDBB2FB"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Sessions may be ordinary or special. The former are held at least three times a year once the Council is established. Special sessions are held at any time at the discretion of the President of the Advisory Council.</w:t>
            </w:r>
          </w:p>
        </w:tc>
      </w:tr>
      <w:tr w:rsidR="009849AC" w:rsidRPr="009E69D6" w14:paraId="219510E1" w14:textId="6AAA86F0" w:rsidTr="00F867DE">
        <w:tc>
          <w:tcPr>
            <w:tcW w:w="4711" w:type="dxa"/>
          </w:tcPr>
          <w:p w14:paraId="1FC9F3A7"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Las convocatorias son enviadas por lo menos con cinco días hábiles de anticipación para las sesiones ordinarias y con dos días hábiles de anticipación para las extraordinarias.</w:t>
            </w:r>
          </w:p>
        </w:tc>
        <w:tc>
          <w:tcPr>
            <w:tcW w:w="4649" w:type="dxa"/>
          </w:tcPr>
          <w:p w14:paraId="2B078339" w14:textId="195102C0"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Calls are sent at least five business days in advance for regular sessions and two business days in advance for special sessions.</w:t>
            </w:r>
          </w:p>
        </w:tc>
      </w:tr>
      <w:tr w:rsidR="009849AC" w:rsidRPr="009E69D6" w14:paraId="3F08A0F7" w14:textId="5A41F9F9" w:rsidTr="00F867DE">
        <w:tc>
          <w:tcPr>
            <w:tcW w:w="4711" w:type="dxa"/>
          </w:tcPr>
          <w:p w14:paraId="6EB55EF4"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254. </w:t>
            </w:r>
            <w:r w:rsidRPr="00837D4A">
              <w:rPr>
                <w:rFonts w:ascii="Verdana" w:hAnsi="Verdana"/>
                <w:sz w:val="16"/>
                <w:szCs w:val="16"/>
              </w:rPr>
              <w:t>A las sesiones solo pueden asistir las personas miembros y las personas invitadas que se encuentran formalmente acreditadas ante el Consejo Consultivo.</w:t>
            </w:r>
          </w:p>
        </w:tc>
        <w:tc>
          <w:tcPr>
            <w:tcW w:w="4649" w:type="dxa"/>
          </w:tcPr>
          <w:p w14:paraId="301F9E40" w14:textId="1DA430CA"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254. </w:t>
            </w:r>
            <w:r w:rsidRPr="00837D4A">
              <w:rPr>
                <w:rFonts w:ascii="Verdana" w:hAnsi="Verdana"/>
                <w:sz w:val="16"/>
                <w:szCs w:val="16"/>
                <w:lang w:val="en-US"/>
              </w:rPr>
              <w:t>Only members and invited persons who are formally accredited to the Advisory Council may attend sessions.</w:t>
            </w:r>
          </w:p>
        </w:tc>
      </w:tr>
      <w:tr w:rsidR="009849AC" w:rsidRPr="009E69D6" w14:paraId="1D83AC44" w14:textId="4806BA17" w:rsidTr="00F867DE">
        <w:tc>
          <w:tcPr>
            <w:tcW w:w="4711" w:type="dxa"/>
          </w:tcPr>
          <w:p w14:paraId="4913F3FA"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Para efectos de lo anterior, las personas titulares de las dependencias de la Administración Pública Federal y las personas representantes del sector académico, de investigación y tecnología, incluidos los institutos sectorizados, y las del sector privado de la Industria de Hidrocarburos, que integran el Consejo Consultivo, deben comunicar oficialmente a la persona titular de la presidencia del Consejo Consultivo los nombres y cargos de sus representantes y suplentes.</w:t>
            </w:r>
          </w:p>
        </w:tc>
        <w:tc>
          <w:tcPr>
            <w:tcW w:w="4649" w:type="dxa"/>
          </w:tcPr>
          <w:p w14:paraId="451DF114" w14:textId="5F057CF3"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For the purposes of the foregoing, the heads of Federal Public Administration agencies and representatives of the academic, research, and technology sectors, including sectorized institutes, and those of the private sector of the hydrocarbon Industry, who comprise the Advisory Council, must officially notify the president of the Advisory Council of the names and positions of their representatives and alternates.</w:t>
            </w:r>
          </w:p>
        </w:tc>
      </w:tr>
      <w:tr w:rsidR="009849AC" w:rsidRPr="009E69D6" w14:paraId="12D92580" w14:textId="28B6553F" w:rsidTr="00F867DE">
        <w:tc>
          <w:tcPr>
            <w:tcW w:w="4711" w:type="dxa"/>
          </w:tcPr>
          <w:p w14:paraId="5F747C8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255. </w:t>
            </w:r>
            <w:r w:rsidRPr="00837D4A">
              <w:rPr>
                <w:rFonts w:ascii="Verdana" w:hAnsi="Verdana"/>
                <w:sz w:val="16"/>
                <w:szCs w:val="16"/>
              </w:rPr>
              <w:t>El Consejo Consultivo lleva a cabo funciones de apoyo, colaboración, coordinación y vinculación respecto de:</w:t>
            </w:r>
          </w:p>
        </w:tc>
        <w:tc>
          <w:tcPr>
            <w:tcW w:w="4649" w:type="dxa"/>
          </w:tcPr>
          <w:p w14:paraId="75F12893" w14:textId="2849CDB7"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255. </w:t>
            </w:r>
            <w:r w:rsidRPr="00837D4A">
              <w:rPr>
                <w:rFonts w:ascii="Verdana" w:hAnsi="Verdana"/>
                <w:sz w:val="16"/>
                <w:szCs w:val="16"/>
                <w:lang w:val="en-US"/>
              </w:rPr>
              <w:t>The Advisory Council carries out support, collaboration, coordination and liaison functions with respect to:</w:t>
            </w:r>
          </w:p>
        </w:tc>
      </w:tr>
      <w:tr w:rsidR="009849AC" w:rsidRPr="009E69D6" w14:paraId="6B2F7924" w14:textId="3FAE95AD" w:rsidTr="00F867DE">
        <w:tc>
          <w:tcPr>
            <w:tcW w:w="4711" w:type="dxa"/>
          </w:tcPr>
          <w:p w14:paraId="2F8061AA"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definición de políticas, criterios y metodologías para el diagnóstico de la oferta y demanda de productos, bienes y servicios del sector hidrocarburos;</w:t>
            </w:r>
          </w:p>
        </w:tc>
        <w:tc>
          <w:tcPr>
            <w:tcW w:w="4649" w:type="dxa"/>
          </w:tcPr>
          <w:p w14:paraId="27B0D482" w14:textId="7592228B"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 xml:space="preserve">The definition of policies, criteria and methodologies for the </w:t>
            </w:r>
            <w:r w:rsidR="00F7290E">
              <w:rPr>
                <w:rFonts w:ascii="Verdana" w:hAnsi="Verdana"/>
                <w:sz w:val="16"/>
                <w:szCs w:val="16"/>
                <w:lang w:val="en-US"/>
              </w:rPr>
              <w:t>diagnostic</w:t>
            </w:r>
            <w:r w:rsidRPr="00837D4A">
              <w:rPr>
                <w:rFonts w:ascii="Verdana" w:hAnsi="Verdana"/>
                <w:sz w:val="16"/>
                <w:szCs w:val="16"/>
                <w:lang w:val="en-US"/>
              </w:rPr>
              <w:t xml:space="preserve"> of the supply and demand of products, goods and services in the hydrocarbon sector;</w:t>
            </w:r>
          </w:p>
        </w:tc>
      </w:tr>
      <w:tr w:rsidR="009849AC" w:rsidRPr="009E69D6" w14:paraId="26FD924D" w14:textId="45D53DB7" w:rsidTr="00F867DE">
        <w:tc>
          <w:tcPr>
            <w:tcW w:w="4711" w:type="dxa"/>
          </w:tcPr>
          <w:p w14:paraId="174757BC"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promoción del sector hidrocarburos nacional;</w:t>
            </w:r>
          </w:p>
        </w:tc>
        <w:tc>
          <w:tcPr>
            <w:tcW w:w="4649" w:type="dxa"/>
          </w:tcPr>
          <w:p w14:paraId="20AD820E" w14:textId="03108DFC"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promotion of the national hydrocarbon sector;</w:t>
            </w:r>
          </w:p>
        </w:tc>
      </w:tr>
      <w:tr w:rsidR="009849AC" w:rsidRPr="009E69D6" w14:paraId="50960201" w14:textId="3B630E21" w:rsidTr="00F867DE">
        <w:tc>
          <w:tcPr>
            <w:tcW w:w="4711" w:type="dxa"/>
          </w:tcPr>
          <w:p w14:paraId="68E266FE"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 formación de Cadenas Productivas nacionales y regionales del sector hidrocarburos;</w:t>
            </w:r>
          </w:p>
        </w:tc>
        <w:tc>
          <w:tcPr>
            <w:tcW w:w="4649" w:type="dxa"/>
          </w:tcPr>
          <w:p w14:paraId="6221E6EC" w14:textId="2D23AB61"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formation of national and regional production chains in the hydrocarbon sector;</w:t>
            </w:r>
          </w:p>
        </w:tc>
      </w:tr>
      <w:tr w:rsidR="009849AC" w:rsidRPr="009E69D6" w14:paraId="5EB35E36" w14:textId="49A4CAE5" w:rsidTr="00F867DE">
        <w:tc>
          <w:tcPr>
            <w:tcW w:w="4711" w:type="dxa"/>
          </w:tcPr>
          <w:p w14:paraId="25D7B123"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El desarrollo, fomento y promoción del talento de la mano de obra nacional, recursos humanos, la innovación, transferencia de tecnología e infraestructura, para atender los retos y necesidades en el sector hidrocarburos, y</w:t>
            </w:r>
          </w:p>
        </w:tc>
        <w:tc>
          <w:tcPr>
            <w:tcW w:w="4649" w:type="dxa"/>
          </w:tcPr>
          <w:p w14:paraId="520880E4" w14:textId="4C726FDF"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development, promotion and fostering of the talent of the national workforce, human resources, innovation, technology transfer and infrastructure, to address the challenges and needs in the hydrocarbon sector, and</w:t>
            </w:r>
          </w:p>
        </w:tc>
      </w:tr>
      <w:tr w:rsidR="009849AC" w:rsidRPr="009E69D6" w14:paraId="76A69614" w14:textId="2B459288" w:rsidTr="00F867DE">
        <w:tc>
          <w:tcPr>
            <w:tcW w:w="4711" w:type="dxa"/>
          </w:tcPr>
          <w:p w14:paraId="223216EF"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lastRenderedPageBreak/>
              <w:t>V.</w:t>
            </w:r>
            <w:r w:rsidRPr="00837D4A">
              <w:rPr>
                <w:rFonts w:ascii="Verdana" w:hAnsi="Verdana"/>
                <w:b/>
                <w:sz w:val="16"/>
                <w:szCs w:val="16"/>
              </w:rPr>
              <w:tab/>
            </w:r>
            <w:r w:rsidRPr="00837D4A">
              <w:rPr>
                <w:rFonts w:ascii="Verdana" w:hAnsi="Verdana"/>
                <w:sz w:val="16"/>
                <w:szCs w:val="16"/>
              </w:rPr>
              <w:t>Aprobar los lineamientos que regulen el funcionamiento del Consejo Consultivo.</w:t>
            </w:r>
          </w:p>
        </w:tc>
        <w:tc>
          <w:tcPr>
            <w:tcW w:w="4649" w:type="dxa"/>
          </w:tcPr>
          <w:p w14:paraId="27132DDF" w14:textId="5D3AA15D"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Approve the guidelines that regulate the operation of the Advisory Council.</w:t>
            </w:r>
          </w:p>
        </w:tc>
      </w:tr>
      <w:tr w:rsidR="009849AC" w:rsidRPr="009E69D6" w14:paraId="5DD3E79D" w14:textId="25D37BE9" w:rsidTr="00F867DE">
        <w:tc>
          <w:tcPr>
            <w:tcW w:w="4711" w:type="dxa"/>
          </w:tcPr>
          <w:p w14:paraId="6FD8738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256. </w:t>
            </w:r>
            <w:r w:rsidRPr="00837D4A">
              <w:rPr>
                <w:rFonts w:ascii="Verdana" w:hAnsi="Verdana"/>
                <w:sz w:val="16"/>
                <w:szCs w:val="16"/>
              </w:rPr>
              <w:t>La persona titular de la presidencia del Consejo Consultivo tiene las siguientes funciones:</w:t>
            </w:r>
          </w:p>
        </w:tc>
        <w:tc>
          <w:tcPr>
            <w:tcW w:w="4649" w:type="dxa"/>
          </w:tcPr>
          <w:p w14:paraId="3D456074" w14:textId="2D4D6772"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256. </w:t>
            </w:r>
            <w:r w:rsidRPr="00837D4A">
              <w:rPr>
                <w:rFonts w:ascii="Verdana" w:hAnsi="Verdana"/>
                <w:sz w:val="16"/>
                <w:szCs w:val="16"/>
                <w:lang w:val="en-US"/>
              </w:rPr>
              <w:t>The person holding the presidency of the Advisory Council has the following functions:</w:t>
            </w:r>
          </w:p>
        </w:tc>
      </w:tr>
      <w:tr w:rsidR="009849AC" w:rsidRPr="009E69D6" w14:paraId="573F77A0" w14:textId="29920E92" w:rsidTr="00F867DE">
        <w:tc>
          <w:tcPr>
            <w:tcW w:w="4711" w:type="dxa"/>
          </w:tcPr>
          <w:p w14:paraId="25696474"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Coordinar las sesiones del Consejo Consultivo;</w:t>
            </w:r>
          </w:p>
        </w:tc>
        <w:tc>
          <w:tcPr>
            <w:tcW w:w="4649" w:type="dxa"/>
          </w:tcPr>
          <w:p w14:paraId="6345B501" w14:textId="0D864128"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Coordinate the sessions of the Advisory Council;</w:t>
            </w:r>
          </w:p>
        </w:tc>
      </w:tr>
      <w:tr w:rsidR="009849AC" w:rsidRPr="009E69D6" w14:paraId="17E9797C" w14:textId="043DC986" w:rsidTr="00F867DE">
        <w:tc>
          <w:tcPr>
            <w:tcW w:w="4711" w:type="dxa"/>
          </w:tcPr>
          <w:p w14:paraId="38DD2BE3"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Solicitar a la persona secretaria técnica la elaboración de estudios sobre los asuntos que se presenten a la consideración del Consejo Consultivo, y</w:t>
            </w:r>
          </w:p>
        </w:tc>
        <w:tc>
          <w:tcPr>
            <w:tcW w:w="4649" w:type="dxa"/>
          </w:tcPr>
          <w:p w14:paraId="5168CB35" w14:textId="727E4C9B"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Request the technical secretary to prepare studies on the matters submitted for consideration by the Advisory Council, and</w:t>
            </w:r>
          </w:p>
        </w:tc>
      </w:tr>
      <w:tr w:rsidR="009849AC" w:rsidRPr="009E69D6" w14:paraId="08D56CB2" w14:textId="3C488C91" w:rsidTr="00F867DE">
        <w:tc>
          <w:tcPr>
            <w:tcW w:w="4711" w:type="dxa"/>
          </w:tcPr>
          <w:p w14:paraId="72E6519A"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Proponer los lineamientos que regulen el funcionamiento del Consejo Consultivo.</w:t>
            </w:r>
          </w:p>
        </w:tc>
        <w:tc>
          <w:tcPr>
            <w:tcW w:w="4649" w:type="dxa"/>
          </w:tcPr>
          <w:p w14:paraId="4645681F" w14:textId="724DD589"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Propose guidelines that regulate the operation of the Advisory Council.</w:t>
            </w:r>
          </w:p>
        </w:tc>
      </w:tr>
      <w:tr w:rsidR="009849AC" w:rsidRPr="00D0180E" w14:paraId="6618D54C" w14:textId="6FB8581B" w:rsidTr="00F867DE">
        <w:tc>
          <w:tcPr>
            <w:tcW w:w="4711" w:type="dxa"/>
          </w:tcPr>
          <w:p w14:paraId="7EB7A3EE"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TÍTULO SEXTO</w:t>
            </w:r>
          </w:p>
        </w:tc>
        <w:tc>
          <w:tcPr>
            <w:tcW w:w="4649" w:type="dxa"/>
          </w:tcPr>
          <w:p w14:paraId="0E1904C3" w14:textId="743A21C3"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rPr>
              <w:t xml:space="preserve">SIXTH TITLE </w:t>
            </w:r>
          </w:p>
        </w:tc>
      </w:tr>
      <w:tr w:rsidR="009849AC" w:rsidRPr="009E69D6" w14:paraId="7A71BD21" w14:textId="70D8778A" w:rsidTr="00F867DE">
        <w:tc>
          <w:tcPr>
            <w:tcW w:w="4711" w:type="dxa"/>
          </w:tcPr>
          <w:p w14:paraId="61BBBDEB"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DEL CONTENIDO NACIONAL Y DE LAS ESTRATEGIAS PARA EL FOMENTO INDUSTRIAL Y DE LA INVERSIÓN DE LA INDUSTRIA DE HIDROCARBUROS</w:t>
            </w:r>
          </w:p>
        </w:tc>
        <w:tc>
          <w:tcPr>
            <w:tcW w:w="4649" w:type="dxa"/>
          </w:tcPr>
          <w:p w14:paraId="3B6EED02" w14:textId="0D800FF8"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NATIONAL CONTENT AND STRATEGIES FOR INDUSTRIAL PROMOTION AND INVESTMENT IN THE HYDROCARBON INDUSTRY</w:t>
            </w:r>
          </w:p>
        </w:tc>
      </w:tr>
      <w:tr w:rsidR="009849AC" w:rsidRPr="009E69D6" w14:paraId="389DC115" w14:textId="29873394" w:rsidTr="00F867DE">
        <w:tc>
          <w:tcPr>
            <w:tcW w:w="4711" w:type="dxa"/>
          </w:tcPr>
          <w:p w14:paraId="7871963E"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257. </w:t>
            </w:r>
            <w:r w:rsidRPr="00837D4A">
              <w:rPr>
                <w:rFonts w:ascii="Verdana" w:hAnsi="Verdana"/>
                <w:sz w:val="16"/>
                <w:szCs w:val="16"/>
              </w:rPr>
              <w:t>A efecto de que la Secretaría cuente con los elementos necesarios para determinar el porcentaje mínimo de contenido nacional a que hace referencia el artículo 74, párrafo tercero de la Ley, la Secretaría y la Secretaría de Economía deben celebrar bases de colaboración con el objeto de establecer el mecanismo de intercambio de información necesario para que la Secretaría realice dicha determinación.</w:t>
            </w:r>
          </w:p>
        </w:tc>
        <w:tc>
          <w:tcPr>
            <w:tcW w:w="4649" w:type="dxa"/>
          </w:tcPr>
          <w:p w14:paraId="42D2840A" w14:textId="69CFE6F0"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257. </w:t>
            </w:r>
            <w:r w:rsidRPr="00837D4A">
              <w:rPr>
                <w:rFonts w:ascii="Verdana" w:hAnsi="Verdana"/>
                <w:sz w:val="16"/>
                <w:szCs w:val="16"/>
                <w:lang w:val="en-US"/>
              </w:rPr>
              <w:t>In order for the Secretary to have the necessary elements to determine the minimum percentage of national content referred to in Article 74, third paragraph of the Law, the Secretary and the Secretary of Economy must enter into collaboration bases with the objective of establishing the information exchange mechanism necessary for the Secretary to make said determination.</w:t>
            </w:r>
          </w:p>
        </w:tc>
      </w:tr>
      <w:tr w:rsidR="009849AC" w:rsidRPr="009E69D6" w14:paraId="3BA327F0" w14:textId="21205438" w:rsidTr="00F867DE">
        <w:tc>
          <w:tcPr>
            <w:tcW w:w="4711" w:type="dxa"/>
          </w:tcPr>
          <w:p w14:paraId="17052683"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El mecanismo de intercambio de información debe ser publicado en el Diario Oficial de la Federación con la finalidad de que surtan sus efectos legales para los interesados.</w:t>
            </w:r>
          </w:p>
        </w:tc>
        <w:tc>
          <w:tcPr>
            <w:tcW w:w="4649" w:type="dxa"/>
          </w:tcPr>
          <w:p w14:paraId="704BA0FD" w14:textId="572200F6"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information exchange mechanism must be published in the Official Daily of the Federation so that it can have legal effect on interested parties.</w:t>
            </w:r>
          </w:p>
        </w:tc>
      </w:tr>
      <w:tr w:rsidR="009849AC" w:rsidRPr="009E69D6" w14:paraId="185E851E" w14:textId="206BF00A" w:rsidTr="00F867DE">
        <w:tc>
          <w:tcPr>
            <w:tcW w:w="4711" w:type="dxa"/>
          </w:tcPr>
          <w:p w14:paraId="7D3FEC7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Secretaría y la Secretaría de Economía pueden emitir la Normatividad que establezca los mecanismos a través de los cuales los Contratistas cumplan con sus obligaciones de capacitación, transferencia de tecnología e inversión social, mediante del financiamiento de proyecto conjuntos; los cuales, en su caso, se deben definir, con base en los criterios que se incluyan en dicha Normatividad.</w:t>
            </w:r>
          </w:p>
        </w:tc>
        <w:tc>
          <w:tcPr>
            <w:tcW w:w="4649" w:type="dxa"/>
          </w:tcPr>
          <w:p w14:paraId="67E47949" w14:textId="7CB14EC8"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Secretary and the Secretary of Economy may issue legislation establishing the mechanisms through which contractors fulfill their training, technology transfer, and social investment obligations by financing joint projects. These mechanisms, where applicable, must be defined based on the criteria included in said legislation.</w:t>
            </w:r>
          </w:p>
        </w:tc>
      </w:tr>
      <w:tr w:rsidR="009849AC" w:rsidRPr="009E69D6" w14:paraId="251C354E" w14:textId="430DD490" w:rsidTr="00F867DE">
        <w:tc>
          <w:tcPr>
            <w:tcW w:w="4711" w:type="dxa"/>
          </w:tcPr>
          <w:p w14:paraId="7D259042"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258.</w:t>
            </w:r>
            <w:r w:rsidRPr="00837D4A">
              <w:rPr>
                <w:rFonts w:ascii="Verdana" w:hAnsi="Verdana"/>
                <w:sz w:val="16"/>
                <w:szCs w:val="16"/>
              </w:rPr>
              <w:t xml:space="preserve"> La Secretaría de Economía debe informar a la Secretaría cuando una persona Asignataria o Contratista cumpla o incumpla con el porcentaje mínimo de contenido nacional dentro de los cinco días hábiles posteriores a su determinación.</w:t>
            </w:r>
          </w:p>
        </w:tc>
        <w:tc>
          <w:tcPr>
            <w:tcW w:w="4649" w:type="dxa"/>
          </w:tcPr>
          <w:p w14:paraId="04A07980" w14:textId="3CE8E959"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258. </w:t>
            </w:r>
            <w:r w:rsidRPr="00837D4A">
              <w:rPr>
                <w:rFonts w:ascii="Verdana" w:hAnsi="Verdana"/>
                <w:sz w:val="16"/>
                <w:szCs w:val="16"/>
                <w:lang w:val="en-US"/>
              </w:rPr>
              <w:t>The Secretary of Economy must inform the Secretary when an assignee or contractor complies or fails to comply with the minimum percentage of national content within five business days after its determination.</w:t>
            </w:r>
          </w:p>
        </w:tc>
      </w:tr>
      <w:tr w:rsidR="009849AC" w:rsidRPr="009E69D6" w14:paraId="15F76F18" w14:textId="1B61C72B" w:rsidTr="00F867DE">
        <w:tc>
          <w:tcPr>
            <w:tcW w:w="4711" w:type="dxa"/>
          </w:tcPr>
          <w:p w14:paraId="4635B898"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sz w:val="16"/>
                <w:szCs w:val="16"/>
              </w:rPr>
              <w:t>La Secretaría debe imponer las sanciones correspondientes de conformidad con la Ley, la Asignación o Contrato para la Exploración y Extracción y demás Normatividad aplicable, las cuales deben ser informadas a la Secretaría de Economía en un plazo no mayor a diez días hábiles.</w:t>
            </w:r>
          </w:p>
        </w:tc>
        <w:tc>
          <w:tcPr>
            <w:tcW w:w="4649" w:type="dxa"/>
          </w:tcPr>
          <w:p w14:paraId="112281C8" w14:textId="41BA7D83"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Secretary must impose the corresponding sanctions in accordance with the Law, the Assignment or Contract for Exploration and Extraction, and other applicable legislation, which must be reported to the Secretary of Economy within a period of no more than ten business days.</w:t>
            </w:r>
          </w:p>
        </w:tc>
      </w:tr>
      <w:tr w:rsidR="009849AC" w:rsidRPr="009E69D6" w14:paraId="1C1EA932" w14:textId="73D9A23B" w:rsidTr="00F867DE">
        <w:tc>
          <w:tcPr>
            <w:tcW w:w="4711" w:type="dxa"/>
          </w:tcPr>
          <w:p w14:paraId="506DB752"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259.</w:t>
            </w:r>
            <w:r w:rsidRPr="00837D4A">
              <w:rPr>
                <w:rFonts w:ascii="Verdana" w:hAnsi="Verdana"/>
                <w:sz w:val="16"/>
                <w:szCs w:val="16"/>
              </w:rPr>
              <w:t xml:space="preserve"> La Secretaría debe emitir la opinión a la que se refiere el artículo 161, primer párrafo de la Ley, en un plazo de veinte días hábiles posteriores a la recepción de la propuesta de las estrategias para el fomento industrial de Cadenas Productivas locales y para el fomento de la inversión directa en la Industria </w:t>
            </w:r>
            <w:r w:rsidRPr="00837D4A">
              <w:rPr>
                <w:rFonts w:ascii="Verdana" w:hAnsi="Verdana"/>
                <w:sz w:val="16"/>
                <w:szCs w:val="16"/>
              </w:rPr>
              <w:lastRenderedPageBreak/>
              <w:t>de Hidrocarburos que al efecto proponga la Secretaría de Economía.</w:t>
            </w:r>
          </w:p>
        </w:tc>
        <w:tc>
          <w:tcPr>
            <w:tcW w:w="4649" w:type="dxa"/>
          </w:tcPr>
          <w:p w14:paraId="7F31A3B2" w14:textId="57ECA82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259. </w:t>
            </w:r>
            <w:r w:rsidRPr="00837D4A">
              <w:rPr>
                <w:rFonts w:ascii="Verdana" w:hAnsi="Verdana"/>
                <w:sz w:val="16"/>
                <w:szCs w:val="16"/>
                <w:lang w:val="en-US"/>
              </w:rPr>
              <w:t xml:space="preserve">The Secretary must issue the opinion referred to in the first paragraph of Article 161 of the Law within twenty business days after receiving the proposal for strategies for the industrial promotion of local production chains and for the promotion of direct </w:t>
            </w:r>
            <w:r w:rsidRPr="00837D4A">
              <w:rPr>
                <w:rFonts w:ascii="Verdana" w:hAnsi="Verdana"/>
                <w:sz w:val="16"/>
                <w:szCs w:val="16"/>
                <w:lang w:val="en-US"/>
              </w:rPr>
              <w:lastRenderedPageBreak/>
              <w:t>investment in the hydrocarbon industry proposed for this purpose by the Secretary of Economy.</w:t>
            </w:r>
          </w:p>
        </w:tc>
      </w:tr>
      <w:tr w:rsidR="009849AC" w:rsidRPr="009E69D6" w14:paraId="40E348DE" w14:textId="2E61E405" w:rsidTr="00F867DE">
        <w:tc>
          <w:tcPr>
            <w:tcW w:w="4711" w:type="dxa"/>
          </w:tcPr>
          <w:p w14:paraId="5F4DA5EC"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lastRenderedPageBreak/>
              <w:t>Artículo 260.</w:t>
            </w:r>
            <w:r w:rsidRPr="00837D4A">
              <w:rPr>
                <w:rFonts w:ascii="Verdana" w:hAnsi="Verdana"/>
                <w:sz w:val="16"/>
                <w:szCs w:val="16"/>
              </w:rPr>
              <w:t xml:space="preserve"> La Secretaría de Economía en colaboración con la Secretaría y la Comisión pueden celebrar convenios o acuerdos para establecer mecanismos que permitan formalizar proyectos para el fomento industrial y de inversión en el sector hidrocarburos.</w:t>
            </w:r>
          </w:p>
        </w:tc>
        <w:tc>
          <w:tcPr>
            <w:tcW w:w="4649" w:type="dxa"/>
          </w:tcPr>
          <w:p w14:paraId="7C754D22" w14:textId="43040731"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260. </w:t>
            </w:r>
            <w:r w:rsidRPr="00837D4A">
              <w:rPr>
                <w:rFonts w:ascii="Verdana" w:hAnsi="Verdana"/>
                <w:sz w:val="16"/>
                <w:szCs w:val="16"/>
                <w:lang w:val="en-US"/>
              </w:rPr>
              <w:t>The Secretary of Economy, in collaboration with the Secretary and the Commission, may enter into agreements or arrangements to establish mechanisms that allow for the formalization of projects for the promotion of industry and investment in the hydrocarbon sector.</w:t>
            </w:r>
          </w:p>
        </w:tc>
      </w:tr>
      <w:tr w:rsidR="009849AC" w:rsidRPr="00D0180E" w14:paraId="4A5D362B" w14:textId="3B1D0FD5" w:rsidTr="00F867DE">
        <w:tc>
          <w:tcPr>
            <w:tcW w:w="4711" w:type="dxa"/>
          </w:tcPr>
          <w:p w14:paraId="6A6F4955" w14:textId="77777777" w:rsidR="009849AC" w:rsidRPr="00837D4A" w:rsidRDefault="009849AC" w:rsidP="009849AC">
            <w:pPr>
              <w:pStyle w:val="Texto"/>
              <w:spacing w:line="220" w:lineRule="exact"/>
              <w:ind w:firstLine="0"/>
              <w:jc w:val="center"/>
              <w:rPr>
                <w:rFonts w:ascii="Verdana" w:hAnsi="Verdana"/>
                <w:sz w:val="16"/>
                <w:szCs w:val="16"/>
              </w:rPr>
            </w:pPr>
            <w:r w:rsidRPr="00837D4A">
              <w:rPr>
                <w:rFonts w:ascii="Verdana" w:hAnsi="Verdana"/>
                <w:b/>
                <w:sz w:val="16"/>
                <w:szCs w:val="16"/>
              </w:rPr>
              <w:t>TÍTULO SÉPTIMO</w:t>
            </w:r>
          </w:p>
        </w:tc>
        <w:tc>
          <w:tcPr>
            <w:tcW w:w="4649" w:type="dxa"/>
          </w:tcPr>
          <w:p w14:paraId="64F5293B" w14:textId="66B2D1B0"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rPr>
              <w:t xml:space="preserve">SEVENTH TITLE </w:t>
            </w:r>
          </w:p>
        </w:tc>
      </w:tr>
      <w:tr w:rsidR="009849AC" w:rsidRPr="00D0180E" w14:paraId="4BC62BBF" w14:textId="2C3BA7E2" w:rsidTr="00F867DE">
        <w:tc>
          <w:tcPr>
            <w:tcW w:w="4711" w:type="dxa"/>
          </w:tcPr>
          <w:p w14:paraId="74F3E5DC" w14:textId="77777777" w:rsidR="009849AC" w:rsidRPr="00837D4A" w:rsidRDefault="009849AC" w:rsidP="009849AC">
            <w:pPr>
              <w:pStyle w:val="Texto"/>
              <w:spacing w:line="220" w:lineRule="exact"/>
              <w:ind w:firstLine="0"/>
              <w:jc w:val="center"/>
              <w:rPr>
                <w:rFonts w:ascii="Verdana" w:hAnsi="Verdana"/>
                <w:sz w:val="16"/>
                <w:szCs w:val="16"/>
              </w:rPr>
            </w:pPr>
            <w:r w:rsidRPr="00837D4A">
              <w:rPr>
                <w:rFonts w:ascii="Verdana" w:hAnsi="Verdana"/>
                <w:b/>
                <w:sz w:val="16"/>
                <w:szCs w:val="16"/>
              </w:rPr>
              <w:t>DE LA VERIFICACIÓN</w:t>
            </w:r>
          </w:p>
        </w:tc>
        <w:tc>
          <w:tcPr>
            <w:tcW w:w="4649" w:type="dxa"/>
          </w:tcPr>
          <w:p w14:paraId="07A44EB7" w14:textId="75233157"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rPr>
              <w:t>VERIFICATION</w:t>
            </w:r>
          </w:p>
        </w:tc>
      </w:tr>
      <w:tr w:rsidR="009849AC" w:rsidRPr="00D0180E" w14:paraId="034DB0EB" w14:textId="456C6C24" w:rsidTr="00F867DE">
        <w:tc>
          <w:tcPr>
            <w:tcW w:w="4711" w:type="dxa"/>
          </w:tcPr>
          <w:p w14:paraId="0C891DEC" w14:textId="77777777" w:rsidR="009849AC" w:rsidRPr="00837D4A" w:rsidRDefault="009849AC" w:rsidP="009849AC">
            <w:pPr>
              <w:pStyle w:val="Texto"/>
              <w:spacing w:line="220" w:lineRule="exact"/>
              <w:ind w:firstLine="0"/>
              <w:jc w:val="center"/>
              <w:rPr>
                <w:rFonts w:ascii="Verdana" w:hAnsi="Verdana"/>
                <w:sz w:val="16"/>
                <w:szCs w:val="16"/>
              </w:rPr>
            </w:pPr>
            <w:r w:rsidRPr="00837D4A">
              <w:rPr>
                <w:rFonts w:ascii="Verdana" w:hAnsi="Verdana"/>
                <w:b/>
                <w:sz w:val="16"/>
                <w:szCs w:val="16"/>
              </w:rPr>
              <w:t>Capítulo I</w:t>
            </w:r>
          </w:p>
        </w:tc>
        <w:tc>
          <w:tcPr>
            <w:tcW w:w="4649" w:type="dxa"/>
          </w:tcPr>
          <w:p w14:paraId="6B7D7A9D" w14:textId="4DF852E8"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Chapter I</w:t>
            </w:r>
          </w:p>
        </w:tc>
      </w:tr>
      <w:tr w:rsidR="009849AC" w:rsidRPr="00D0180E" w14:paraId="5A3DD425" w14:textId="47D5DB8F" w:rsidTr="00F867DE">
        <w:tc>
          <w:tcPr>
            <w:tcW w:w="4711" w:type="dxa"/>
          </w:tcPr>
          <w:p w14:paraId="5688D41A"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 las Disposiciones Generales</w:t>
            </w:r>
          </w:p>
        </w:tc>
        <w:tc>
          <w:tcPr>
            <w:tcW w:w="4649" w:type="dxa"/>
          </w:tcPr>
          <w:p w14:paraId="7254E6F8" w14:textId="6228BFBA"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General Provisions</w:t>
            </w:r>
          </w:p>
        </w:tc>
      </w:tr>
      <w:tr w:rsidR="009849AC" w:rsidRPr="009E69D6" w14:paraId="594C4FE3" w14:textId="3E2DB91F" w:rsidTr="00F867DE">
        <w:tc>
          <w:tcPr>
            <w:tcW w:w="4711" w:type="dxa"/>
          </w:tcPr>
          <w:p w14:paraId="11007319"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261.</w:t>
            </w:r>
            <w:r w:rsidRPr="00837D4A">
              <w:rPr>
                <w:rFonts w:ascii="Verdana" w:hAnsi="Verdana"/>
                <w:sz w:val="16"/>
                <w:szCs w:val="16"/>
              </w:rPr>
              <w:t xml:space="preserve"> Además de las obligaciones previstas en la Ley, el presente reglamento y demás instrumentos que de estos emanan, las personas que realicen las actividades que regula el artículo 3 de la Ley, deben cumplir las siguientes obligaciones:</w:t>
            </w:r>
          </w:p>
        </w:tc>
        <w:tc>
          <w:tcPr>
            <w:tcW w:w="4649" w:type="dxa"/>
          </w:tcPr>
          <w:p w14:paraId="7B23AC01" w14:textId="46404B59"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261. </w:t>
            </w:r>
            <w:r w:rsidRPr="00837D4A">
              <w:rPr>
                <w:rFonts w:ascii="Verdana" w:hAnsi="Verdana"/>
                <w:sz w:val="16"/>
                <w:szCs w:val="16"/>
                <w:lang w:val="en-US"/>
              </w:rPr>
              <w:t>In addition to the obligations provided for in the Law, this regulation and other instruments emanating from them, persons who carry out the activities regulated by Article 3 of the Law must comply with the following obligations:</w:t>
            </w:r>
          </w:p>
        </w:tc>
      </w:tr>
      <w:tr w:rsidR="009849AC" w:rsidRPr="009E69D6" w14:paraId="53D49491" w14:textId="228AA916" w:rsidTr="00F867DE">
        <w:tc>
          <w:tcPr>
            <w:tcW w:w="4711" w:type="dxa"/>
          </w:tcPr>
          <w:p w14:paraId="5FA18E15"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Comparecer en el lugar, fecha y hora en que sean citados, a menos que justifiquen la imposibilidad legal o material para hacerlo;</w:t>
            </w:r>
          </w:p>
        </w:tc>
        <w:tc>
          <w:tcPr>
            <w:tcW w:w="4649" w:type="dxa"/>
          </w:tcPr>
          <w:p w14:paraId="3C857B3F" w14:textId="2B977AB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Appear at the place, date and time they are summoned, unless they justify the legal or material impossibility of doing so;</w:t>
            </w:r>
          </w:p>
        </w:tc>
      </w:tr>
      <w:tr w:rsidR="009849AC" w:rsidRPr="009E69D6" w14:paraId="4B528967" w14:textId="67D5F9F3" w:rsidTr="00F867DE">
        <w:tc>
          <w:tcPr>
            <w:tcW w:w="4711" w:type="dxa"/>
          </w:tcPr>
          <w:p w14:paraId="1D546FD2"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Presentar en tiempo y forma, de manera física o electrónica, la aclaración, reporte técnico, informe, certificado o cualquier otro instrumento que se le haya requerido;</w:t>
            </w:r>
          </w:p>
        </w:tc>
        <w:tc>
          <w:tcPr>
            <w:tcW w:w="4649" w:type="dxa"/>
          </w:tcPr>
          <w:p w14:paraId="16E2C5DB" w14:textId="6D4B68BD"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Submit in a timely manner, physically or electronically, the clarification, technical report, report, certificate or any other instrument that has been requested;</w:t>
            </w:r>
          </w:p>
        </w:tc>
      </w:tr>
      <w:tr w:rsidR="009849AC" w:rsidRPr="009E69D6" w14:paraId="747B853C" w14:textId="14CD2F96" w:rsidTr="00F867DE">
        <w:tc>
          <w:tcPr>
            <w:tcW w:w="4711" w:type="dxa"/>
          </w:tcPr>
          <w:p w14:paraId="386E2483"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III.</w:t>
            </w:r>
            <w:r w:rsidRPr="00837D4A">
              <w:rPr>
                <w:rFonts w:ascii="Verdana" w:hAnsi="Verdana"/>
                <w:sz w:val="16"/>
                <w:szCs w:val="16"/>
              </w:rPr>
              <w:tab/>
              <w:t>Permitir el acceso a los inmuebles, instalaciones y equipos que sean objeto de una visita de verificación o inspección, supervisión o revisión;</w:t>
            </w:r>
          </w:p>
        </w:tc>
        <w:tc>
          <w:tcPr>
            <w:tcW w:w="4649" w:type="dxa"/>
          </w:tcPr>
          <w:p w14:paraId="1EA75CD8" w14:textId="00FE059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sz w:val="16"/>
                <w:szCs w:val="16"/>
                <w:lang w:val="en-US"/>
              </w:rPr>
              <w:tab/>
              <w:t>Allow access to the buildings, facilities and equipment that are the subject of a verification visit or inspection, supervision or review;</w:t>
            </w:r>
          </w:p>
        </w:tc>
      </w:tr>
      <w:tr w:rsidR="009849AC" w:rsidRPr="009E69D6" w14:paraId="17661F43" w14:textId="15A18BA9" w:rsidTr="00F867DE">
        <w:tc>
          <w:tcPr>
            <w:tcW w:w="4711" w:type="dxa"/>
          </w:tcPr>
          <w:p w14:paraId="41B35239"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Abstenerse de impedir u obstaculizar por cualquier medio las diligencias a que se refiere la fracción anterior;</w:t>
            </w:r>
          </w:p>
        </w:tc>
        <w:tc>
          <w:tcPr>
            <w:tcW w:w="4649" w:type="dxa"/>
          </w:tcPr>
          <w:p w14:paraId="717786EB" w14:textId="2C2906C3"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Refrain from impeding or obstructing by any means the proceedings referred to in the preceding section;</w:t>
            </w:r>
          </w:p>
        </w:tc>
      </w:tr>
      <w:tr w:rsidR="009849AC" w:rsidRPr="009E69D6" w14:paraId="3BC4131A" w14:textId="117FCBE0" w:rsidTr="00F867DE">
        <w:tc>
          <w:tcPr>
            <w:tcW w:w="4711" w:type="dxa"/>
          </w:tcPr>
          <w:p w14:paraId="43CA1CEA"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Acreditar la personalidad con la que se ostenta, en su comparecencia o durante el desarrollo de las visitas o diligencias, previstas en la Ley, el presente reglamento, así como en la Normatividad aplicable, siempre y cuando no se tenga por reconocida previamente y no haya sido revocada;</w:t>
            </w:r>
          </w:p>
        </w:tc>
        <w:tc>
          <w:tcPr>
            <w:tcW w:w="4649" w:type="dxa"/>
          </w:tcPr>
          <w:p w14:paraId="6EBD166E" w14:textId="6A91E6E5"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Verify the legal status with which he or she holds himself or herself, in his or her appearance or during the development of the visits or proceedings, provided for in the Law, this regulation, as well as in the applicable legislation, provided that it is not previously recognized and has not been revoked;</w:t>
            </w:r>
          </w:p>
        </w:tc>
      </w:tr>
      <w:tr w:rsidR="009849AC" w:rsidRPr="009E69D6" w14:paraId="46CF03B8" w14:textId="671273CB" w:rsidTr="00F867DE">
        <w:tc>
          <w:tcPr>
            <w:tcW w:w="4711" w:type="dxa"/>
          </w:tcPr>
          <w:p w14:paraId="6C1D9AF8"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Exhibir los libros, registros, documentos y demás instrumentos que les sean requeridos en la orden o aviso que les sean exhibidos;</w:t>
            </w:r>
          </w:p>
        </w:tc>
        <w:tc>
          <w:tcPr>
            <w:tcW w:w="4649" w:type="dxa"/>
          </w:tcPr>
          <w:p w14:paraId="49F11A12" w14:textId="25E4E5BA"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Exhibit the books, records, documents and other instruments that are required in the order or notice that is exhibited to them;</w:t>
            </w:r>
          </w:p>
        </w:tc>
      </w:tr>
      <w:tr w:rsidR="009849AC" w:rsidRPr="009E69D6" w14:paraId="24D51448" w14:textId="418210E3" w:rsidTr="00F867DE">
        <w:tc>
          <w:tcPr>
            <w:tcW w:w="4711" w:type="dxa"/>
          </w:tcPr>
          <w:p w14:paraId="0ECE8BC7"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Brindar las facilidades necesarias para que se practiquen las diligencias establecidas en el presente reglamento, así como dar instrucciones a sus representantes o personal a su cargo para que no opongan obstáculo alguno a las mismas y proporcionen la asistencia que se les requiera;</w:t>
            </w:r>
          </w:p>
        </w:tc>
        <w:tc>
          <w:tcPr>
            <w:tcW w:w="4649" w:type="dxa"/>
          </w:tcPr>
          <w:p w14:paraId="35CEA0F8" w14:textId="1744A028"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Provide the necessary facilities for the performance of the procedures established in this Regulation, as well as instruct their representatives or personnel under their charge not to oppose any obstacles to them and to provide the assistance required;</w:t>
            </w:r>
          </w:p>
        </w:tc>
      </w:tr>
      <w:tr w:rsidR="009849AC" w:rsidRPr="009E69D6" w14:paraId="18855BEB" w14:textId="53020F07" w:rsidTr="00F867DE">
        <w:tc>
          <w:tcPr>
            <w:tcW w:w="4711" w:type="dxa"/>
          </w:tcPr>
          <w:p w14:paraId="1D77D078"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Cuando así se le solicite, notificar con la anticipación correspondiente el retiro o sustitución de las personas del centro de trabajo;</w:t>
            </w:r>
          </w:p>
        </w:tc>
        <w:tc>
          <w:tcPr>
            <w:tcW w:w="4649" w:type="dxa"/>
          </w:tcPr>
          <w:p w14:paraId="11075D95" w14:textId="17F3ABB2"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When requested, notify in advance the withdrawal or replacement of persons from the workplace;</w:t>
            </w:r>
          </w:p>
        </w:tc>
      </w:tr>
      <w:tr w:rsidR="009849AC" w:rsidRPr="009E69D6" w14:paraId="36569BEA" w14:textId="629DCF08" w:rsidTr="00F867DE">
        <w:tc>
          <w:tcPr>
            <w:tcW w:w="4711" w:type="dxa"/>
          </w:tcPr>
          <w:p w14:paraId="4F24156B"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IX.</w:t>
            </w:r>
            <w:r w:rsidRPr="00837D4A">
              <w:rPr>
                <w:rFonts w:ascii="Verdana" w:hAnsi="Verdana"/>
                <w:b/>
                <w:sz w:val="16"/>
                <w:szCs w:val="16"/>
              </w:rPr>
              <w:tab/>
            </w:r>
            <w:r w:rsidRPr="00837D4A">
              <w:rPr>
                <w:rFonts w:ascii="Verdana" w:hAnsi="Verdana"/>
                <w:sz w:val="16"/>
                <w:szCs w:val="16"/>
              </w:rPr>
              <w:t>De requerirse, facilitar el equipo de seguridad que sea necesario a las personas encomendadas para ejecutar la diligencia de que se trate;</w:t>
            </w:r>
          </w:p>
        </w:tc>
        <w:tc>
          <w:tcPr>
            <w:tcW w:w="4649" w:type="dxa"/>
          </w:tcPr>
          <w:p w14:paraId="5B1C3EB2" w14:textId="1075C86A"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If required, provide the necessary safety equipment to the persons entrusted to carry out the procedure in question;</w:t>
            </w:r>
          </w:p>
        </w:tc>
      </w:tr>
      <w:tr w:rsidR="009849AC" w:rsidRPr="009E69D6" w14:paraId="54A0EF75" w14:textId="659E15DE" w:rsidTr="00F867DE">
        <w:tc>
          <w:tcPr>
            <w:tcW w:w="4711" w:type="dxa"/>
          </w:tcPr>
          <w:p w14:paraId="33A82505"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lastRenderedPageBreak/>
              <w:t>X.</w:t>
            </w:r>
            <w:r w:rsidRPr="00837D4A">
              <w:rPr>
                <w:rFonts w:ascii="Verdana" w:hAnsi="Verdana"/>
                <w:b/>
                <w:sz w:val="16"/>
                <w:szCs w:val="16"/>
              </w:rPr>
              <w:tab/>
            </w:r>
            <w:r w:rsidRPr="00837D4A">
              <w:rPr>
                <w:rFonts w:ascii="Verdana" w:hAnsi="Verdana"/>
                <w:sz w:val="16"/>
                <w:szCs w:val="16"/>
              </w:rPr>
              <w:t>Permitir la presencia de las personas servidoras públicas que se determinen en la orden o aviso correspondiente;</w:t>
            </w:r>
          </w:p>
        </w:tc>
        <w:tc>
          <w:tcPr>
            <w:tcW w:w="4649" w:type="dxa"/>
          </w:tcPr>
          <w:p w14:paraId="7CB9D25E" w14:textId="2EF69E5C"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X. </w:t>
            </w:r>
            <w:r w:rsidRPr="00837D4A">
              <w:rPr>
                <w:rFonts w:ascii="Verdana" w:hAnsi="Verdana"/>
                <w:b/>
                <w:sz w:val="16"/>
                <w:szCs w:val="16"/>
                <w:lang w:val="en-US"/>
              </w:rPr>
              <w:tab/>
            </w:r>
            <w:r w:rsidRPr="00837D4A">
              <w:rPr>
                <w:rFonts w:ascii="Verdana" w:hAnsi="Verdana"/>
                <w:sz w:val="16"/>
                <w:szCs w:val="16"/>
                <w:lang w:val="en-US"/>
              </w:rPr>
              <w:t>Allow the presence of public servants that are  determined in the corresponding order or notice;</w:t>
            </w:r>
          </w:p>
        </w:tc>
      </w:tr>
      <w:tr w:rsidR="009849AC" w:rsidRPr="009E69D6" w14:paraId="0AA3CC79" w14:textId="7FC84F7D" w:rsidTr="00F867DE">
        <w:tc>
          <w:tcPr>
            <w:tcW w:w="4711" w:type="dxa"/>
          </w:tcPr>
          <w:p w14:paraId="3D0F2FA6"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XI.</w:t>
            </w:r>
            <w:r w:rsidRPr="00837D4A">
              <w:rPr>
                <w:rFonts w:ascii="Verdana" w:hAnsi="Verdana"/>
                <w:b/>
                <w:sz w:val="16"/>
                <w:szCs w:val="16"/>
              </w:rPr>
              <w:tab/>
            </w:r>
            <w:r w:rsidRPr="00837D4A">
              <w:rPr>
                <w:rFonts w:ascii="Verdana" w:hAnsi="Verdana"/>
                <w:sz w:val="16"/>
                <w:szCs w:val="16"/>
              </w:rPr>
              <w:t>Abstenerse de conducirse con falsedad, dolo, mala fe, violencia, presentar documentación apócrifa, así como de promover una conducta contraria a la Ley, y</w:t>
            </w:r>
          </w:p>
        </w:tc>
        <w:tc>
          <w:tcPr>
            <w:tcW w:w="4649" w:type="dxa"/>
          </w:tcPr>
          <w:p w14:paraId="429E6B9E" w14:textId="3EFB69A7"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XI. </w:t>
            </w:r>
            <w:r w:rsidRPr="00837D4A">
              <w:rPr>
                <w:rFonts w:ascii="Verdana" w:hAnsi="Verdana"/>
                <w:b/>
                <w:sz w:val="16"/>
                <w:szCs w:val="16"/>
                <w:lang w:val="en-US"/>
              </w:rPr>
              <w:tab/>
            </w:r>
            <w:r w:rsidRPr="00837D4A">
              <w:rPr>
                <w:rFonts w:ascii="Verdana" w:hAnsi="Verdana"/>
                <w:sz w:val="16"/>
                <w:szCs w:val="16"/>
                <w:lang w:val="en-US"/>
              </w:rPr>
              <w:t>Refrain from behaving with falsehood, deceit, bad faith, violence, presenting false documentation, as well as promoting conduct contrary to the Law, and</w:t>
            </w:r>
          </w:p>
        </w:tc>
      </w:tr>
      <w:tr w:rsidR="009849AC" w:rsidRPr="009E69D6" w14:paraId="060636EA" w14:textId="529353F4" w:rsidTr="00F867DE">
        <w:tc>
          <w:tcPr>
            <w:tcW w:w="4711" w:type="dxa"/>
          </w:tcPr>
          <w:p w14:paraId="48E7F747" w14:textId="77777777" w:rsidR="009849AC" w:rsidRPr="00837D4A" w:rsidRDefault="009849AC" w:rsidP="009849AC">
            <w:pPr>
              <w:pStyle w:val="Texto"/>
              <w:spacing w:line="222" w:lineRule="exact"/>
              <w:ind w:firstLine="0"/>
              <w:rPr>
                <w:rFonts w:ascii="Verdana" w:hAnsi="Verdana"/>
                <w:b/>
                <w:sz w:val="16"/>
                <w:szCs w:val="16"/>
              </w:rPr>
            </w:pPr>
            <w:r w:rsidRPr="00837D4A">
              <w:rPr>
                <w:rFonts w:ascii="Verdana" w:hAnsi="Verdana"/>
                <w:b/>
                <w:sz w:val="16"/>
                <w:szCs w:val="16"/>
              </w:rPr>
              <w:t>XII.</w:t>
            </w:r>
            <w:r w:rsidRPr="00837D4A">
              <w:rPr>
                <w:rFonts w:ascii="Verdana" w:hAnsi="Verdana"/>
                <w:b/>
                <w:sz w:val="16"/>
                <w:szCs w:val="16"/>
              </w:rPr>
              <w:tab/>
            </w:r>
            <w:r w:rsidRPr="00837D4A">
              <w:rPr>
                <w:rFonts w:ascii="Verdana" w:hAnsi="Verdana"/>
                <w:sz w:val="16"/>
                <w:szCs w:val="16"/>
              </w:rPr>
              <w:t>Las demás que establezca la Normatividad aplicable.</w:t>
            </w:r>
          </w:p>
        </w:tc>
        <w:tc>
          <w:tcPr>
            <w:tcW w:w="4649" w:type="dxa"/>
          </w:tcPr>
          <w:p w14:paraId="7908A362" w14:textId="45BB3E28"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XII. </w:t>
            </w:r>
            <w:r w:rsidRPr="00837D4A">
              <w:rPr>
                <w:rFonts w:ascii="Verdana" w:hAnsi="Verdana"/>
                <w:b/>
                <w:sz w:val="16"/>
                <w:szCs w:val="16"/>
                <w:lang w:val="en-US"/>
              </w:rPr>
              <w:tab/>
            </w:r>
            <w:r w:rsidRPr="00837D4A">
              <w:rPr>
                <w:rFonts w:ascii="Verdana" w:hAnsi="Verdana"/>
                <w:sz w:val="16"/>
                <w:szCs w:val="16"/>
                <w:lang w:val="en-US"/>
              </w:rPr>
              <w:t>Others established by the applicable legislation.</w:t>
            </w:r>
          </w:p>
        </w:tc>
      </w:tr>
      <w:tr w:rsidR="009849AC" w:rsidRPr="009E69D6" w14:paraId="2B111A96" w14:textId="5B70EE72" w:rsidTr="00F867DE">
        <w:tc>
          <w:tcPr>
            <w:tcW w:w="4711" w:type="dxa"/>
          </w:tcPr>
          <w:p w14:paraId="37755380"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262.</w:t>
            </w:r>
            <w:r w:rsidRPr="00837D4A">
              <w:rPr>
                <w:rFonts w:ascii="Verdana" w:hAnsi="Verdana"/>
                <w:sz w:val="16"/>
                <w:szCs w:val="16"/>
              </w:rPr>
              <w:t xml:space="preserve"> De conformidad con la Ley, la Secretaría y la Comisión se encuentran facultadas para vigilar y supervisar el cumplimiento de la misma, del presente reglamento y demás Normatividad en materia del sector hidrocarburos, mediante visitas de verificación, requerimientos de información, documentación, informes y comparecencias a los sujetos que realicen cualquiera de las actividades reguladas que prevé la Ley, el presente reglamento y demás Normatividad aplicable.</w:t>
            </w:r>
          </w:p>
        </w:tc>
        <w:tc>
          <w:tcPr>
            <w:tcW w:w="4649" w:type="dxa"/>
          </w:tcPr>
          <w:p w14:paraId="16787165" w14:textId="03710B7F"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262. </w:t>
            </w:r>
            <w:r w:rsidRPr="00837D4A">
              <w:rPr>
                <w:rFonts w:ascii="Verdana" w:hAnsi="Verdana"/>
                <w:sz w:val="16"/>
                <w:szCs w:val="16"/>
                <w:lang w:val="en-US"/>
              </w:rPr>
              <w:t>In accordance with the Law, the Secretary and the Commission are empowered to monitor and supervise compliance with the Law, this Regulation and other legislation related to the hydrocarbon sector, through verification visits, requests for information, documentation, reports and appearances before the subjects who carry out any of the regulated activities provided for in the Law, this Regulation and other applicable legislation.</w:t>
            </w:r>
          </w:p>
        </w:tc>
      </w:tr>
      <w:tr w:rsidR="009849AC" w:rsidRPr="009E69D6" w14:paraId="08FE5F79" w14:textId="25A2EB56" w:rsidTr="00F867DE">
        <w:tc>
          <w:tcPr>
            <w:tcW w:w="4711" w:type="dxa"/>
          </w:tcPr>
          <w:p w14:paraId="4A35B21A"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263.</w:t>
            </w:r>
            <w:r w:rsidRPr="00837D4A">
              <w:rPr>
                <w:rFonts w:ascii="Verdana" w:hAnsi="Verdana"/>
                <w:sz w:val="16"/>
                <w:szCs w:val="16"/>
              </w:rPr>
              <w:t xml:space="preserve"> Lo señalado en el presente Título no es aplicable a las revisiones que realicen la Secretaría y la Secretaría de Hacienda y Crédito Público, en términos de lo dispuesto en los artículos 32 y 59 fracción III de la Ley; cuyas revisiones se deben llevar a cabo, conforme a la Normatividad aplicable.</w:t>
            </w:r>
          </w:p>
        </w:tc>
        <w:tc>
          <w:tcPr>
            <w:tcW w:w="4649" w:type="dxa"/>
          </w:tcPr>
          <w:p w14:paraId="762B0C32" w14:textId="49DACA97"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263. </w:t>
            </w:r>
            <w:r w:rsidRPr="00837D4A">
              <w:rPr>
                <w:rFonts w:ascii="Verdana" w:hAnsi="Verdana"/>
                <w:sz w:val="16"/>
                <w:szCs w:val="16"/>
                <w:lang w:val="en-US"/>
              </w:rPr>
              <w:t>The provisions of this Title do not apply to reviews conducted by the Secretary and the Secretary of Finance and Public Credit, pursuant to Articles 32 and 59, Section III of the Law; such reviews must be carried out in accordance with applicable legislation.</w:t>
            </w:r>
          </w:p>
        </w:tc>
      </w:tr>
      <w:tr w:rsidR="009849AC" w:rsidRPr="009E69D6" w14:paraId="45BEEC83" w14:textId="6C7FBEB7" w:rsidTr="00F867DE">
        <w:tc>
          <w:tcPr>
            <w:tcW w:w="4711" w:type="dxa"/>
          </w:tcPr>
          <w:p w14:paraId="21A15823"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264.</w:t>
            </w:r>
            <w:r w:rsidRPr="00837D4A">
              <w:rPr>
                <w:rFonts w:ascii="Verdana" w:hAnsi="Verdana"/>
                <w:sz w:val="16"/>
                <w:szCs w:val="16"/>
              </w:rPr>
              <w:t xml:space="preserve"> Para efectos de las notificaciones, citaciones, emplazamientos, requerimientos, visitas e informes, a que se refiere el presente Título, la Secretaría y la Comisión pueden auxiliarse de medios de comunicación electrónicos, de equipos, herramientas, sistemas y programas tecnológicos u otros que faciliten su práctica.</w:t>
            </w:r>
          </w:p>
        </w:tc>
        <w:tc>
          <w:tcPr>
            <w:tcW w:w="4649" w:type="dxa"/>
          </w:tcPr>
          <w:p w14:paraId="7BC469B0" w14:textId="0C97E3F3"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264. </w:t>
            </w:r>
            <w:r w:rsidRPr="00837D4A">
              <w:rPr>
                <w:rFonts w:ascii="Verdana" w:hAnsi="Verdana"/>
                <w:sz w:val="16"/>
                <w:szCs w:val="16"/>
                <w:lang w:val="en-US"/>
              </w:rPr>
              <w:t>For the purposes of notifications, summonses, requests, visits and reports, to which this Title refers, the Secretary and the Commission may use electronic means of communication, equipment, tools, systems and technological programs or others that facilitate their practice.</w:t>
            </w:r>
          </w:p>
        </w:tc>
      </w:tr>
      <w:tr w:rsidR="009849AC" w:rsidRPr="009E69D6" w14:paraId="15B66CF6" w14:textId="391784D7" w:rsidTr="00F867DE">
        <w:tc>
          <w:tcPr>
            <w:tcW w:w="4711" w:type="dxa"/>
          </w:tcPr>
          <w:p w14:paraId="48844777"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Cuando se trate de las notificaciones y demás actuaciones administrativas practicadas por medios de comunicación electrónica, se debe contar con la aceptación expresa del interesado.</w:t>
            </w:r>
          </w:p>
        </w:tc>
        <w:tc>
          <w:tcPr>
            <w:tcW w:w="4649" w:type="dxa"/>
          </w:tcPr>
          <w:p w14:paraId="56500857" w14:textId="3C80547B"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When it comes to notifications and other administrative actions carried out by electronic means, the express acceptance of the interested party is required.</w:t>
            </w:r>
          </w:p>
        </w:tc>
      </w:tr>
      <w:tr w:rsidR="009849AC" w:rsidRPr="009E69D6" w14:paraId="25854C24" w14:textId="575CE272" w:rsidTr="00F867DE">
        <w:tc>
          <w:tcPr>
            <w:tcW w:w="4711" w:type="dxa"/>
          </w:tcPr>
          <w:p w14:paraId="127ECCD9"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265.</w:t>
            </w:r>
            <w:r w:rsidRPr="00837D4A">
              <w:rPr>
                <w:rFonts w:ascii="Verdana" w:hAnsi="Verdana"/>
                <w:sz w:val="16"/>
                <w:szCs w:val="16"/>
              </w:rPr>
              <w:t xml:space="preserve"> La autoridad competente puede valerse de cualquier medio de prueba, siempre y cuando estas no estén prohibidas o exceptuadas por la Normatividad aplicable, ni sean contrarias a la moral.</w:t>
            </w:r>
          </w:p>
        </w:tc>
        <w:tc>
          <w:tcPr>
            <w:tcW w:w="4649" w:type="dxa"/>
          </w:tcPr>
          <w:p w14:paraId="21681E63" w14:textId="6A46F9B5"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265. </w:t>
            </w:r>
            <w:r w:rsidRPr="00837D4A">
              <w:rPr>
                <w:rFonts w:ascii="Verdana" w:hAnsi="Verdana"/>
                <w:sz w:val="16"/>
                <w:szCs w:val="16"/>
                <w:lang w:val="en-US"/>
              </w:rPr>
              <w:t>The appropriate authority may use any means of evidence, provided that these are not prohibited or exempted by the applicable legislation, nor are they contrary to morality.</w:t>
            </w:r>
          </w:p>
        </w:tc>
      </w:tr>
      <w:tr w:rsidR="009849AC" w:rsidRPr="009E69D6" w14:paraId="38B7FBD2" w14:textId="32626FD1" w:rsidTr="00F867DE">
        <w:tc>
          <w:tcPr>
            <w:tcW w:w="4711" w:type="dxa"/>
          </w:tcPr>
          <w:p w14:paraId="05C6DA79"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266.</w:t>
            </w:r>
            <w:r w:rsidRPr="00837D4A">
              <w:rPr>
                <w:rFonts w:ascii="Verdana" w:hAnsi="Verdana"/>
                <w:sz w:val="16"/>
                <w:szCs w:val="16"/>
              </w:rPr>
              <w:t xml:space="preserve"> A falta de disposición expresa en el presente Título, son de aplicación supletoria al mismo, la Ley Federal de Procedimiento Administrativo, el Código Federal de Procedimientos Civiles, la Ley de Infraestructura de la Calidad y demás Normatividad en materia del sector hidrocarburos.</w:t>
            </w:r>
          </w:p>
        </w:tc>
        <w:tc>
          <w:tcPr>
            <w:tcW w:w="4649" w:type="dxa"/>
          </w:tcPr>
          <w:p w14:paraId="05687314" w14:textId="24691A97"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266. </w:t>
            </w:r>
            <w:r w:rsidRPr="00837D4A">
              <w:rPr>
                <w:rFonts w:ascii="Verdana" w:hAnsi="Verdana"/>
                <w:sz w:val="16"/>
                <w:szCs w:val="16"/>
                <w:lang w:val="en-US"/>
              </w:rPr>
              <w:t>In the absence of an express provision in this Title, the following shall apply in addition to the Federal Law of Administrative Procedure, the Federal Code of Civil Procedure, the Law on Quality Infrastructure and other legislation related to the hydrocarbon sector.</w:t>
            </w:r>
          </w:p>
        </w:tc>
      </w:tr>
      <w:tr w:rsidR="009849AC" w:rsidRPr="009E69D6" w14:paraId="2DFE38FA" w14:textId="13138B0E" w:rsidTr="00F867DE">
        <w:tc>
          <w:tcPr>
            <w:tcW w:w="4711" w:type="dxa"/>
          </w:tcPr>
          <w:p w14:paraId="0544730C"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sz w:val="16"/>
                <w:szCs w:val="16"/>
              </w:rPr>
              <w:t>Los procedimientos de supervisión y vigilancia señalados en este reglamento son independientes de aquellos previstos en la demás Normatividad aplicable.</w:t>
            </w:r>
          </w:p>
        </w:tc>
        <w:tc>
          <w:tcPr>
            <w:tcW w:w="4649" w:type="dxa"/>
          </w:tcPr>
          <w:p w14:paraId="6FCA41D2" w14:textId="051171BC" w:rsidR="009849AC" w:rsidRPr="00837D4A" w:rsidRDefault="009849AC" w:rsidP="009849AC">
            <w:pPr>
              <w:pStyle w:val="Texto"/>
              <w:spacing w:line="222" w:lineRule="exact"/>
              <w:ind w:firstLine="0"/>
              <w:rPr>
                <w:rFonts w:ascii="Verdana" w:hAnsi="Verdana"/>
                <w:sz w:val="16"/>
                <w:szCs w:val="16"/>
                <w:lang w:val="en-US"/>
              </w:rPr>
            </w:pPr>
            <w:r w:rsidRPr="00837D4A">
              <w:rPr>
                <w:rFonts w:ascii="Verdana" w:hAnsi="Verdana"/>
                <w:sz w:val="16"/>
                <w:szCs w:val="16"/>
                <w:lang w:val="en-US"/>
              </w:rPr>
              <w:t>The supervision and monitoring procedures outlined in this regulation are independent of those provided for in other applicable legislation.</w:t>
            </w:r>
          </w:p>
        </w:tc>
      </w:tr>
      <w:tr w:rsidR="009849AC" w:rsidRPr="009E69D6" w14:paraId="038DA321" w14:textId="3D4BF5CC" w:rsidTr="00F867DE">
        <w:tc>
          <w:tcPr>
            <w:tcW w:w="4711" w:type="dxa"/>
          </w:tcPr>
          <w:p w14:paraId="0CDC8958"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267.</w:t>
            </w:r>
            <w:r w:rsidRPr="00837D4A">
              <w:rPr>
                <w:rFonts w:ascii="Verdana" w:hAnsi="Verdana"/>
                <w:sz w:val="16"/>
                <w:szCs w:val="16"/>
              </w:rPr>
              <w:t xml:space="preserve"> Sin perjuicio de su ejercicio directo, para supervisar y verificar el cumplimiento de los ordenamientos regulatorios del sector hidrocarburos, la Secretaría o la Comisión, pueden auxiliarse de manera enunciativa y no limitativa, de terceras personas </w:t>
            </w:r>
            <w:r w:rsidRPr="00837D4A">
              <w:rPr>
                <w:rFonts w:ascii="Verdana" w:hAnsi="Verdana"/>
                <w:sz w:val="16"/>
                <w:szCs w:val="16"/>
              </w:rPr>
              <w:lastRenderedPageBreak/>
              <w:t>especialistas, unidades de verificación e inspección y demás organismos de evaluación de la conformidad, siempre y cuando se encuentren acreditadas y aprobadas, según corresponda, en términos de la Normatividad aplicable.</w:t>
            </w:r>
          </w:p>
        </w:tc>
        <w:tc>
          <w:tcPr>
            <w:tcW w:w="4649" w:type="dxa"/>
          </w:tcPr>
          <w:p w14:paraId="26216B27" w14:textId="34DA527D"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267. </w:t>
            </w:r>
            <w:r w:rsidRPr="00837D4A">
              <w:rPr>
                <w:rFonts w:ascii="Verdana" w:hAnsi="Verdana"/>
                <w:sz w:val="16"/>
                <w:szCs w:val="16"/>
                <w:lang w:val="en-US"/>
              </w:rPr>
              <w:t xml:space="preserve">Without prejudice to its direct exercise, to supervise and verify compliance with the regulatory ordinances of the hydrocarbon sector, the Secretary or the Commission may seek assistance, including but not limited to, from third-party specialists, verification and </w:t>
            </w:r>
            <w:r w:rsidRPr="00837D4A">
              <w:rPr>
                <w:rFonts w:ascii="Verdana" w:hAnsi="Verdana"/>
                <w:sz w:val="16"/>
                <w:szCs w:val="16"/>
                <w:lang w:val="en-US"/>
              </w:rPr>
              <w:lastRenderedPageBreak/>
              <w:t>inspection units and other conformity assessment bodies, provided that they are accredited and approved, as appropriate, in terms of the applicable legislation.</w:t>
            </w:r>
          </w:p>
        </w:tc>
      </w:tr>
      <w:tr w:rsidR="009849AC" w:rsidRPr="00D0180E" w14:paraId="06F09A26" w14:textId="6B187B0D" w:rsidTr="00F867DE">
        <w:tc>
          <w:tcPr>
            <w:tcW w:w="4711" w:type="dxa"/>
          </w:tcPr>
          <w:p w14:paraId="6BB7D844" w14:textId="77777777" w:rsidR="009849AC" w:rsidRPr="00837D4A" w:rsidRDefault="009849AC" w:rsidP="009849AC">
            <w:pPr>
              <w:pStyle w:val="Texto"/>
              <w:spacing w:line="222" w:lineRule="exact"/>
              <w:ind w:firstLine="0"/>
              <w:jc w:val="center"/>
              <w:rPr>
                <w:rFonts w:ascii="Verdana" w:hAnsi="Verdana"/>
                <w:b/>
                <w:sz w:val="16"/>
                <w:szCs w:val="16"/>
              </w:rPr>
            </w:pPr>
            <w:r w:rsidRPr="00837D4A">
              <w:rPr>
                <w:rFonts w:ascii="Verdana" w:hAnsi="Verdana"/>
                <w:b/>
                <w:sz w:val="16"/>
                <w:szCs w:val="16"/>
              </w:rPr>
              <w:lastRenderedPageBreak/>
              <w:t>Capítulo II</w:t>
            </w:r>
          </w:p>
        </w:tc>
        <w:tc>
          <w:tcPr>
            <w:tcW w:w="4649" w:type="dxa"/>
          </w:tcPr>
          <w:p w14:paraId="2535914B" w14:textId="280EA7D6" w:rsidR="009849AC" w:rsidRPr="00837D4A" w:rsidRDefault="009849AC" w:rsidP="009849AC">
            <w:pPr>
              <w:pStyle w:val="Texto"/>
              <w:spacing w:line="222" w:lineRule="exact"/>
              <w:ind w:firstLine="0"/>
              <w:jc w:val="center"/>
              <w:rPr>
                <w:rFonts w:ascii="Verdana" w:hAnsi="Verdana"/>
                <w:b/>
                <w:sz w:val="16"/>
                <w:szCs w:val="16"/>
                <w:lang w:val="en-US"/>
              </w:rPr>
            </w:pPr>
            <w:r w:rsidRPr="00837D4A">
              <w:rPr>
                <w:rFonts w:ascii="Verdana" w:hAnsi="Verdana"/>
                <w:b/>
                <w:sz w:val="16"/>
                <w:szCs w:val="16"/>
                <w:lang w:val="en-US"/>
              </w:rPr>
              <w:t>Chapter II</w:t>
            </w:r>
          </w:p>
        </w:tc>
      </w:tr>
      <w:tr w:rsidR="009849AC" w:rsidRPr="00D0180E" w14:paraId="266AB650" w14:textId="1313AF8F" w:rsidTr="00F867DE">
        <w:tc>
          <w:tcPr>
            <w:tcW w:w="4711" w:type="dxa"/>
          </w:tcPr>
          <w:p w14:paraId="57565794" w14:textId="77777777" w:rsidR="009849AC" w:rsidRPr="00837D4A" w:rsidRDefault="009849AC" w:rsidP="009849AC">
            <w:pPr>
              <w:pStyle w:val="Texto"/>
              <w:spacing w:line="222" w:lineRule="exact"/>
              <w:ind w:firstLine="0"/>
              <w:jc w:val="center"/>
              <w:rPr>
                <w:rFonts w:ascii="Verdana" w:hAnsi="Verdana"/>
                <w:b/>
                <w:sz w:val="16"/>
                <w:szCs w:val="16"/>
              </w:rPr>
            </w:pPr>
            <w:r w:rsidRPr="00837D4A">
              <w:rPr>
                <w:rFonts w:ascii="Verdana" w:hAnsi="Verdana"/>
                <w:b/>
                <w:sz w:val="16"/>
                <w:szCs w:val="16"/>
              </w:rPr>
              <w:t>De las Visitas de Verificación</w:t>
            </w:r>
          </w:p>
        </w:tc>
        <w:tc>
          <w:tcPr>
            <w:tcW w:w="4649" w:type="dxa"/>
          </w:tcPr>
          <w:p w14:paraId="7542B519" w14:textId="4687D05B" w:rsidR="009849AC" w:rsidRPr="00837D4A" w:rsidRDefault="009849AC" w:rsidP="009849AC">
            <w:pPr>
              <w:pStyle w:val="Texto"/>
              <w:spacing w:line="222" w:lineRule="exact"/>
              <w:ind w:firstLine="0"/>
              <w:jc w:val="center"/>
              <w:rPr>
                <w:rFonts w:ascii="Verdana" w:hAnsi="Verdana"/>
                <w:b/>
                <w:sz w:val="16"/>
                <w:szCs w:val="16"/>
                <w:lang w:val="en-US"/>
              </w:rPr>
            </w:pPr>
            <w:r w:rsidRPr="00837D4A">
              <w:rPr>
                <w:rFonts w:ascii="Verdana" w:hAnsi="Verdana"/>
                <w:b/>
                <w:sz w:val="16"/>
                <w:szCs w:val="16"/>
                <w:lang w:val="en-US"/>
              </w:rPr>
              <w:t>Verification Visits</w:t>
            </w:r>
          </w:p>
        </w:tc>
      </w:tr>
      <w:tr w:rsidR="009849AC" w:rsidRPr="009E69D6" w14:paraId="5C9670D1" w14:textId="1B2A6A1C" w:rsidTr="00F867DE">
        <w:tc>
          <w:tcPr>
            <w:tcW w:w="4711" w:type="dxa"/>
          </w:tcPr>
          <w:p w14:paraId="66E0E3F7" w14:textId="77777777" w:rsidR="009849AC" w:rsidRPr="00837D4A" w:rsidRDefault="009849AC" w:rsidP="009849AC">
            <w:pPr>
              <w:pStyle w:val="Texto"/>
              <w:spacing w:line="222" w:lineRule="exact"/>
              <w:ind w:firstLine="0"/>
              <w:rPr>
                <w:rFonts w:ascii="Verdana" w:hAnsi="Verdana"/>
                <w:sz w:val="16"/>
                <w:szCs w:val="16"/>
              </w:rPr>
            </w:pPr>
            <w:r w:rsidRPr="00837D4A">
              <w:rPr>
                <w:rFonts w:ascii="Verdana" w:hAnsi="Verdana"/>
                <w:b/>
                <w:sz w:val="16"/>
                <w:szCs w:val="16"/>
              </w:rPr>
              <w:t>Artículo 268.</w:t>
            </w:r>
            <w:r w:rsidRPr="00837D4A">
              <w:rPr>
                <w:rFonts w:ascii="Verdana" w:hAnsi="Verdana"/>
                <w:sz w:val="16"/>
                <w:szCs w:val="16"/>
              </w:rPr>
              <w:t xml:space="preserve"> Para efectos de este reglamento, se entiende por visitas de verificación a las diligencias que realizan la Secretaría o la Comisión para supervisar y verificar, en el ámbito de sus respectivas competencias, el cumplimiento de la Ley, del presente reglamento, Normas Oficiales Mexicanas, disposiciones administrativas de carácter general y demás Normatividad aplicable al sector hidrocarburos, de conformidad con lo establecido en la orden de visita que se expida.</w:t>
            </w:r>
          </w:p>
        </w:tc>
        <w:tc>
          <w:tcPr>
            <w:tcW w:w="4649" w:type="dxa"/>
          </w:tcPr>
          <w:p w14:paraId="4535688C" w14:textId="100BCA76" w:rsidR="009849AC" w:rsidRPr="00837D4A" w:rsidRDefault="009849AC" w:rsidP="009849AC">
            <w:pPr>
              <w:pStyle w:val="Texto"/>
              <w:spacing w:line="222" w:lineRule="exact"/>
              <w:ind w:firstLine="0"/>
              <w:rPr>
                <w:rFonts w:ascii="Verdana" w:hAnsi="Verdana"/>
                <w:b/>
                <w:sz w:val="16"/>
                <w:szCs w:val="16"/>
                <w:lang w:val="en-US"/>
              </w:rPr>
            </w:pPr>
            <w:r w:rsidRPr="00837D4A">
              <w:rPr>
                <w:rFonts w:ascii="Verdana" w:hAnsi="Verdana"/>
                <w:b/>
                <w:sz w:val="16"/>
                <w:szCs w:val="16"/>
                <w:lang w:val="en-US"/>
              </w:rPr>
              <w:t xml:space="preserve">Article 268. </w:t>
            </w:r>
            <w:r w:rsidRPr="00837D4A">
              <w:rPr>
                <w:rFonts w:ascii="Verdana" w:hAnsi="Verdana"/>
                <w:sz w:val="16"/>
                <w:szCs w:val="16"/>
                <w:lang w:val="en-US"/>
              </w:rPr>
              <w:t>For the purposes of this regulation, verification visits are understood to be the proceedings carried out by the Secretary or the Commission to supervise and verify, within the scope of their respective powers, compliance with the Law, this regulation, Official Mexican Standards, general administrative provisions and other legislation  applicable to the hydrocarbon sector, in accordance with the provisions of the visit order issued.</w:t>
            </w:r>
          </w:p>
        </w:tc>
      </w:tr>
      <w:tr w:rsidR="009849AC" w:rsidRPr="009E69D6" w14:paraId="5CECAE49" w14:textId="2CF89B6D" w:rsidTr="00F867DE">
        <w:tc>
          <w:tcPr>
            <w:tcW w:w="4711" w:type="dxa"/>
          </w:tcPr>
          <w:p w14:paraId="1272E5F5"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269.</w:t>
            </w:r>
            <w:r w:rsidRPr="00837D4A">
              <w:rPr>
                <w:rFonts w:ascii="Verdana" w:hAnsi="Verdana"/>
                <w:sz w:val="16"/>
                <w:szCs w:val="16"/>
              </w:rPr>
              <w:t xml:space="preserve"> La Secretaría o la Comisión, según sea el caso, deben habilitar a las personas servidoras públicas para llevar a cabo la práctica de visitas de verificación, las cuales al momento de llevar a cabo las mismas, deben contar con credencial vigente con fotografía expedida por dichas autoridades, así como con orden de verificación, la cual debe contener, cuando menos lo siguiente:</w:t>
            </w:r>
          </w:p>
        </w:tc>
        <w:tc>
          <w:tcPr>
            <w:tcW w:w="4649" w:type="dxa"/>
          </w:tcPr>
          <w:p w14:paraId="586F72E6" w14:textId="1B42DBB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269. </w:t>
            </w:r>
            <w:r w:rsidRPr="00837D4A">
              <w:rPr>
                <w:rFonts w:ascii="Verdana" w:hAnsi="Verdana"/>
                <w:sz w:val="16"/>
                <w:szCs w:val="16"/>
                <w:lang w:val="en-US"/>
              </w:rPr>
              <w:t>The Secretary or the Commission, as the case may be, must authorize public servants to carry out verification visits. At the time of carrying them out, they must have a valid credential with a photograph issued by said authorities, as well as a verification order, which must contain, at least, the following:</w:t>
            </w:r>
          </w:p>
        </w:tc>
      </w:tr>
      <w:tr w:rsidR="009849AC" w:rsidRPr="009E69D6" w14:paraId="01334202" w14:textId="4697B447" w:rsidTr="00F867DE">
        <w:tc>
          <w:tcPr>
            <w:tcW w:w="4711" w:type="dxa"/>
          </w:tcPr>
          <w:p w14:paraId="7EE70EE4"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Lugar y fecha de expedición;</w:t>
            </w:r>
          </w:p>
        </w:tc>
        <w:tc>
          <w:tcPr>
            <w:tcW w:w="4649" w:type="dxa"/>
          </w:tcPr>
          <w:p w14:paraId="44EBCFA6" w14:textId="3604BB97"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Place and date of issue;</w:t>
            </w:r>
          </w:p>
        </w:tc>
      </w:tr>
      <w:tr w:rsidR="009849AC" w:rsidRPr="009E69D6" w14:paraId="64A0E4BC" w14:textId="2589F490" w:rsidTr="00F867DE">
        <w:tc>
          <w:tcPr>
            <w:tcW w:w="4711" w:type="dxa"/>
          </w:tcPr>
          <w:p w14:paraId="2677FFE6"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Número de expediente, folio u oficio que le corresponda;</w:t>
            </w:r>
          </w:p>
        </w:tc>
        <w:tc>
          <w:tcPr>
            <w:tcW w:w="4649" w:type="dxa"/>
          </w:tcPr>
          <w:p w14:paraId="38780950" w14:textId="6E9D5AA2"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File number, folio or corresponding document;</w:t>
            </w:r>
          </w:p>
        </w:tc>
      </w:tr>
      <w:tr w:rsidR="009849AC" w:rsidRPr="009E69D6" w14:paraId="773ACA35" w14:textId="700A0319" w:rsidTr="00F867DE">
        <w:tc>
          <w:tcPr>
            <w:tcW w:w="4711" w:type="dxa"/>
          </w:tcPr>
          <w:p w14:paraId="0B73DEE6"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Nombre, denominación o razón social de la persona a quien se dirige o en su caso a la persona propietaria, responsable, encargada u ocupante del lugar objeto de verificación;</w:t>
            </w:r>
          </w:p>
        </w:tc>
        <w:tc>
          <w:tcPr>
            <w:tcW w:w="4649" w:type="dxa"/>
          </w:tcPr>
          <w:p w14:paraId="4B25C965" w14:textId="25AADD5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Name, denomination or business name of the person to whom the request is addressed or, where applicable, the owner, person in charge, or occupant of the place to be verified;</w:t>
            </w:r>
          </w:p>
        </w:tc>
      </w:tr>
      <w:tr w:rsidR="009849AC" w:rsidRPr="009E69D6" w14:paraId="4945F02E" w14:textId="03AC1684" w:rsidTr="00F867DE">
        <w:tc>
          <w:tcPr>
            <w:tcW w:w="4711" w:type="dxa"/>
          </w:tcPr>
          <w:p w14:paraId="256C5D59"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Domicilio, ubicación o descripción de la zona, del lugar o lugares objeto de la verificación;</w:t>
            </w:r>
          </w:p>
        </w:tc>
        <w:tc>
          <w:tcPr>
            <w:tcW w:w="4649" w:type="dxa"/>
          </w:tcPr>
          <w:p w14:paraId="7BE86BDD" w14:textId="26F9CFAF"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Address, location or description of the area, place or places subject to verification;</w:t>
            </w:r>
          </w:p>
        </w:tc>
      </w:tr>
      <w:tr w:rsidR="009849AC" w:rsidRPr="009E69D6" w14:paraId="198D098B" w14:textId="1E7EFA0B" w:rsidTr="00F867DE">
        <w:tc>
          <w:tcPr>
            <w:tcW w:w="4711" w:type="dxa"/>
          </w:tcPr>
          <w:p w14:paraId="1B1BEE2E"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Fundamento, cargo, nombre, firma autógrafa o electrónica de la persona servidora pública que expide la orden;</w:t>
            </w:r>
          </w:p>
        </w:tc>
        <w:tc>
          <w:tcPr>
            <w:tcW w:w="4649" w:type="dxa"/>
          </w:tcPr>
          <w:p w14:paraId="084B3C1C" w14:textId="7C831841"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Basis, position, name, autograph or electronic Signed of the public servant issuing the order;</w:t>
            </w:r>
          </w:p>
        </w:tc>
      </w:tr>
      <w:tr w:rsidR="009849AC" w:rsidRPr="009E69D6" w14:paraId="59D07B57" w14:textId="494DB5EB" w:rsidTr="00F867DE">
        <w:tc>
          <w:tcPr>
            <w:tcW w:w="4711" w:type="dxa"/>
          </w:tcPr>
          <w:p w14:paraId="52B3E120"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 Normatividad aplicable que la fundamenta, el objeto y alcance de la visita de verificación, y</w:t>
            </w:r>
          </w:p>
        </w:tc>
        <w:tc>
          <w:tcPr>
            <w:tcW w:w="4649" w:type="dxa"/>
          </w:tcPr>
          <w:p w14:paraId="4548D79B" w14:textId="0217C6A0"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The applicable legislation that support it, the purpose and scope of the verification visit, and</w:t>
            </w:r>
          </w:p>
        </w:tc>
      </w:tr>
      <w:tr w:rsidR="009849AC" w:rsidRPr="009E69D6" w14:paraId="003E0B03" w14:textId="168429FB" w:rsidTr="00F867DE">
        <w:tc>
          <w:tcPr>
            <w:tcW w:w="4711" w:type="dxa"/>
          </w:tcPr>
          <w:p w14:paraId="2E1895F8"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Las demás que señale la Normatividad aplicable.</w:t>
            </w:r>
          </w:p>
        </w:tc>
        <w:tc>
          <w:tcPr>
            <w:tcW w:w="4649" w:type="dxa"/>
          </w:tcPr>
          <w:p w14:paraId="674B3F66" w14:textId="5298F02A"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Others indicated by the applicable legislation.</w:t>
            </w:r>
          </w:p>
        </w:tc>
      </w:tr>
      <w:tr w:rsidR="009849AC" w:rsidRPr="009E69D6" w14:paraId="1609E15C" w14:textId="4CCC1541" w:rsidTr="00F867DE">
        <w:tc>
          <w:tcPr>
            <w:tcW w:w="4711" w:type="dxa"/>
          </w:tcPr>
          <w:p w14:paraId="6739233E"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270.</w:t>
            </w:r>
            <w:r w:rsidRPr="00837D4A">
              <w:rPr>
                <w:rFonts w:ascii="Verdana" w:hAnsi="Verdana"/>
                <w:sz w:val="16"/>
                <w:szCs w:val="16"/>
              </w:rPr>
              <w:t xml:space="preserve"> La Secretaría o la Comisión, en el ámbito de sus competencias, pueden comunicar anticipadamente por cualquier medio, a las personas que realicen las actividades que regula el artículo 3 de la Ley, que se va a realizar una visita de verificación, con el objeto de que brinden las facilidades necesarias para su ejecución, siempre y cuando se presente alguno de los siguientes supuestos:</w:t>
            </w:r>
          </w:p>
        </w:tc>
        <w:tc>
          <w:tcPr>
            <w:tcW w:w="4649" w:type="dxa"/>
          </w:tcPr>
          <w:p w14:paraId="4C58395A" w14:textId="0C8A6666"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270. </w:t>
            </w:r>
            <w:r w:rsidRPr="00837D4A">
              <w:rPr>
                <w:rFonts w:ascii="Verdana" w:hAnsi="Verdana"/>
                <w:sz w:val="16"/>
                <w:szCs w:val="16"/>
                <w:lang w:val="en-US"/>
              </w:rPr>
              <w:t>The Secretary or the Commission, within the scope of their powers, may notify in advance, by any means, the persons carrying out the activities regulated by Article 3 of the Law, that a verification visit will be carried out, in order to provide the necessary facilities for its execution, provided that any of the following situations occur:</w:t>
            </w:r>
          </w:p>
        </w:tc>
      </w:tr>
      <w:tr w:rsidR="009849AC" w:rsidRPr="009E69D6" w14:paraId="5E117050" w14:textId="6F9D0A42" w:rsidTr="00F867DE">
        <w:tc>
          <w:tcPr>
            <w:tcW w:w="4711" w:type="dxa"/>
          </w:tcPr>
          <w:p w14:paraId="14175480"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Por cuestiones de seguridad del personal habilitado;</w:t>
            </w:r>
          </w:p>
        </w:tc>
        <w:tc>
          <w:tcPr>
            <w:tcW w:w="4649" w:type="dxa"/>
          </w:tcPr>
          <w:p w14:paraId="769F7AA3" w14:textId="348F445F"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For security reasons of authorized personnel;</w:t>
            </w:r>
          </w:p>
        </w:tc>
      </w:tr>
      <w:tr w:rsidR="009849AC" w:rsidRPr="009E69D6" w14:paraId="73424512" w14:textId="5F30B85F" w:rsidTr="00F867DE">
        <w:tc>
          <w:tcPr>
            <w:tcW w:w="4711" w:type="dxa"/>
          </w:tcPr>
          <w:p w14:paraId="5E0EA7A5"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lastRenderedPageBreak/>
              <w:t>II.</w:t>
            </w:r>
            <w:r w:rsidRPr="00837D4A">
              <w:rPr>
                <w:rFonts w:ascii="Verdana" w:hAnsi="Verdana"/>
                <w:b/>
                <w:sz w:val="16"/>
                <w:szCs w:val="16"/>
              </w:rPr>
              <w:tab/>
            </w:r>
            <w:r w:rsidRPr="00837D4A">
              <w:rPr>
                <w:rFonts w:ascii="Verdana" w:hAnsi="Verdana"/>
                <w:sz w:val="16"/>
                <w:szCs w:val="16"/>
              </w:rPr>
              <w:t>Por las características técnicas propias de la instalación a verificar;</w:t>
            </w:r>
          </w:p>
        </w:tc>
        <w:tc>
          <w:tcPr>
            <w:tcW w:w="4649" w:type="dxa"/>
          </w:tcPr>
          <w:p w14:paraId="6B1E09C6" w14:textId="773EC02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Due to the technical characteristics of the installation to be verified;</w:t>
            </w:r>
          </w:p>
        </w:tc>
      </w:tr>
      <w:tr w:rsidR="009849AC" w:rsidRPr="009E69D6" w14:paraId="2B843EDF" w14:textId="7A69D508" w:rsidTr="00F867DE">
        <w:tc>
          <w:tcPr>
            <w:tcW w:w="4711" w:type="dxa"/>
          </w:tcPr>
          <w:p w14:paraId="5060C577"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Por la ubicación geográfica o por las condiciones de accesibilidad al lugar donde se debe realizar la visita, o</w:t>
            </w:r>
          </w:p>
        </w:tc>
        <w:tc>
          <w:tcPr>
            <w:tcW w:w="4649" w:type="dxa"/>
          </w:tcPr>
          <w:p w14:paraId="491E8785" w14:textId="3D5EC1F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Due to the geographical location or the accessibility conditions of the place where the visit is to take place, or</w:t>
            </w:r>
          </w:p>
        </w:tc>
      </w:tr>
      <w:tr w:rsidR="009849AC" w:rsidRPr="009E69D6" w14:paraId="66FF86C1" w14:textId="3341DDA6" w:rsidTr="00F867DE">
        <w:tc>
          <w:tcPr>
            <w:tcW w:w="4711" w:type="dxa"/>
          </w:tcPr>
          <w:p w14:paraId="0B6CC649"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Por cualquier otra razón justificada.</w:t>
            </w:r>
          </w:p>
        </w:tc>
        <w:tc>
          <w:tcPr>
            <w:tcW w:w="4649" w:type="dxa"/>
          </w:tcPr>
          <w:p w14:paraId="00E0E51A" w14:textId="77439E8E"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For any other justified reason.</w:t>
            </w:r>
          </w:p>
        </w:tc>
      </w:tr>
      <w:tr w:rsidR="009849AC" w:rsidRPr="009E69D6" w14:paraId="2E46657E" w14:textId="4EC1C7F9" w:rsidTr="00F867DE">
        <w:tc>
          <w:tcPr>
            <w:tcW w:w="4711" w:type="dxa"/>
          </w:tcPr>
          <w:p w14:paraId="73E188B4" w14:textId="77777777" w:rsidR="009849AC" w:rsidRPr="00837D4A" w:rsidRDefault="009849AC" w:rsidP="009849AC">
            <w:pPr>
              <w:pStyle w:val="Texto"/>
              <w:ind w:firstLine="0"/>
              <w:rPr>
                <w:rFonts w:ascii="Verdana" w:hAnsi="Verdana"/>
                <w:sz w:val="16"/>
                <w:szCs w:val="16"/>
              </w:rPr>
            </w:pPr>
            <w:r w:rsidRPr="00837D4A">
              <w:rPr>
                <w:rFonts w:ascii="Verdana" w:hAnsi="Verdana"/>
                <w:sz w:val="16"/>
                <w:szCs w:val="16"/>
              </w:rPr>
              <w:t>En cualquiera de los supuestos anteriores el aviso a que se hace referencia este artículo no implica que se comunique el alcance y objeto de la orden de visita de verificación.</w:t>
            </w:r>
          </w:p>
        </w:tc>
        <w:tc>
          <w:tcPr>
            <w:tcW w:w="4649" w:type="dxa"/>
          </w:tcPr>
          <w:p w14:paraId="7B2177C4" w14:textId="7826A385" w:rsidR="009849AC" w:rsidRPr="00837D4A" w:rsidRDefault="009849AC" w:rsidP="009849AC">
            <w:pPr>
              <w:pStyle w:val="Texto"/>
              <w:ind w:firstLine="0"/>
              <w:rPr>
                <w:rFonts w:ascii="Verdana" w:hAnsi="Verdana"/>
                <w:sz w:val="16"/>
                <w:szCs w:val="16"/>
                <w:lang w:val="en-US"/>
              </w:rPr>
            </w:pPr>
            <w:r w:rsidRPr="00837D4A">
              <w:rPr>
                <w:rFonts w:ascii="Verdana" w:hAnsi="Verdana"/>
                <w:sz w:val="16"/>
                <w:szCs w:val="16"/>
                <w:lang w:val="en-US"/>
              </w:rPr>
              <w:t>In any of the above cases, the notice referred to in this article does not imply communication of the scope and purpose of the verification visit order.</w:t>
            </w:r>
          </w:p>
        </w:tc>
      </w:tr>
      <w:tr w:rsidR="009849AC" w:rsidRPr="009E69D6" w14:paraId="4FDCC767" w14:textId="4DFC9D7A" w:rsidTr="00F867DE">
        <w:tc>
          <w:tcPr>
            <w:tcW w:w="4711" w:type="dxa"/>
          </w:tcPr>
          <w:p w14:paraId="5DB04F3D" w14:textId="77777777" w:rsidR="009849AC" w:rsidRPr="00837D4A" w:rsidRDefault="009849AC" w:rsidP="009849AC">
            <w:pPr>
              <w:pStyle w:val="Texto"/>
              <w:ind w:firstLine="0"/>
              <w:rPr>
                <w:rFonts w:ascii="Verdana" w:hAnsi="Verdana"/>
                <w:sz w:val="16"/>
                <w:szCs w:val="16"/>
              </w:rPr>
            </w:pPr>
            <w:bookmarkStart w:id="9" w:name="OLE_LINK6"/>
            <w:r w:rsidRPr="00837D4A">
              <w:rPr>
                <w:rFonts w:ascii="Verdana" w:hAnsi="Verdana"/>
                <w:b/>
                <w:sz w:val="16"/>
                <w:szCs w:val="16"/>
              </w:rPr>
              <w:t>Artículo 271.</w:t>
            </w:r>
            <w:r w:rsidRPr="00837D4A">
              <w:rPr>
                <w:rFonts w:ascii="Verdana" w:hAnsi="Verdana"/>
                <w:sz w:val="16"/>
                <w:szCs w:val="16"/>
              </w:rPr>
              <w:t xml:space="preserve"> Al inicio de la visita, la persona verificadora debe exhibir credencial vigente con fotografía expedida por la Secretaría o la Comisión, según sea el caso, que la acredite para desempeñar dicha función, así como la orden de la visita de verificación de la que debe dejar un tanto con firma autógrafa o electrónica a la persona con quien se entendió la diligencia.</w:t>
            </w:r>
            <w:bookmarkEnd w:id="9"/>
          </w:p>
        </w:tc>
        <w:tc>
          <w:tcPr>
            <w:tcW w:w="4649" w:type="dxa"/>
          </w:tcPr>
          <w:p w14:paraId="6F323426" w14:textId="76034779"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271. </w:t>
            </w:r>
            <w:r w:rsidRPr="00837D4A">
              <w:rPr>
                <w:rFonts w:ascii="Verdana" w:hAnsi="Verdana"/>
                <w:sz w:val="16"/>
                <w:szCs w:val="16"/>
                <w:lang w:val="en-US"/>
              </w:rPr>
              <w:t xml:space="preserve">At the beginning of the visit, the verifying person must present a valid photo ID issued by the Secretary or the Commission, as the case may be, which accredits him or her to perform said function, as well as the order of the verification visit, of which he or she must leave a copy with a hand signed </w:t>
            </w:r>
            <w:proofErr w:type="spellStart"/>
            <w:r w:rsidRPr="00837D4A">
              <w:rPr>
                <w:rFonts w:ascii="Verdana" w:hAnsi="Verdana"/>
                <w:sz w:val="16"/>
                <w:szCs w:val="16"/>
                <w:lang w:val="en-US"/>
              </w:rPr>
              <w:t>Signed</w:t>
            </w:r>
            <w:proofErr w:type="spellEnd"/>
            <w:r w:rsidRPr="00837D4A">
              <w:rPr>
                <w:rFonts w:ascii="Verdana" w:hAnsi="Verdana"/>
                <w:sz w:val="16"/>
                <w:szCs w:val="16"/>
                <w:lang w:val="en-US"/>
              </w:rPr>
              <w:t xml:space="preserve"> or electronic Signed to the person with whom the procedure was conducted.</w:t>
            </w:r>
          </w:p>
        </w:tc>
      </w:tr>
      <w:tr w:rsidR="009849AC" w:rsidRPr="009E69D6" w14:paraId="5406332E" w14:textId="7407860B" w:rsidTr="00F867DE">
        <w:tc>
          <w:tcPr>
            <w:tcW w:w="4711" w:type="dxa"/>
          </w:tcPr>
          <w:p w14:paraId="63DA9800"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Artículo 272.</w:t>
            </w:r>
            <w:r w:rsidRPr="00837D4A">
              <w:rPr>
                <w:rFonts w:ascii="Verdana" w:hAnsi="Verdana"/>
                <w:sz w:val="16"/>
                <w:szCs w:val="16"/>
              </w:rPr>
              <w:t xml:space="preserve"> El acta circunstanciada que se levante durante una visita de verificación debe contener, al menos, lo siguiente:</w:t>
            </w:r>
          </w:p>
        </w:tc>
        <w:tc>
          <w:tcPr>
            <w:tcW w:w="4649" w:type="dxa"/>
          </w:tcPr>
          <w:p w14:paraId="5FAE5818" w14:textId="528E374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Article 272. </w:t>
            </w:r>
            <w:r w:rsidRPr="00837D4A">
              <w:rPr>
                <w:rFonts w:ascii="Verdana" w:hAnsi="Verdana"/>
                <w:sz w:val="16"/>
                <w:szCs w:val="16"/>
                <w:lang w:val="en-US"/>
              </w:rPr>
              <w:t>The detailed report drawn up during a verification visit must contain, at least, the following:</w:t>
            </w:r>
          </w:p>
        </w:tc>
      </w:tr>
      <w:tr w:rsidR="009849AC" w:rsidRPr="009E69D6" w14:paraId="7C935B06" w14:textId="3E76738D" w:rsidTr="00F867DE">
        <w:tc>
          <w:tcPr>
            <w:tcW w:w="4711" w:type="dxa"/>
          </w:tcPr>
          <w:p w14:paraId="0CE65D3B"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Lugar, fecha y hora de su inicio;</w:t>
            </w:r>
          </w:p>
        </w:tc>
        <w:tc>
          <w:tcPr>
            <w:tcW w:w="4649" w:type="dxa"/>
          </w:tcPr>
          <w:p w14:paraId="613BB21A" w14:textId="34EB387F"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Place, date and time of its start;</w:t>
            </w:r>
          </w:p>
        </w:tc>
      </w:tr>
      <w:tr w:rsidR="009849AC" w:rsidRPr="009E69D6" w14:paraId="7E6CBF80" w14:textId="4A2C6D08" w:rsidTr="00F867DE">
        <w:tc>
          <w:tcPr>
            <w:tcW w:w="4711" w:type="dxa"/>
          </w:tcPr>
          <w:p w14:paraId="3C17F708"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Número de expediente, folio u oficio que le corresponda;</w:t>
            </w:r>
          </w:p>
        </w:tc>
        <w:tc>
          <w:tcPr>
            <w:tcW w:w="4649" w:type="dxa"/>
          </w:tcPr>
          <w:p w14:paraId="255FA0BA" w14:textId="3EE31F3A"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File number, folio or corresponding document;</w:t>
            </w:r>
          </w:p>
        </w:tc>
      </w:tr>
      <w:tr w:rsidR="009849AC" w:rsidRPr="009E69D6" w14:paraId="48F4E4DE" w14:textId="60A5CAB9" w:rsidTr="00F867DE">
        <w:tc>
          <w:tcPr>
            <w:tcW w:w="4711" w:type="dxa"/>
          </w:tcPr>
          <w:p w14:paraId="2CFB8A49"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Número y fecha del oficio de comisión que la motivó;</w:t>
            </w:r>
          </w:p>
        </w:tc>
        <w:tc>
          <w:tcPr>
            <w:tcW w:w="4649" w:type="dxa"/>
          </w:tcPr>
          <w:p w14:paraId="535EFC2A" w14:textId="2A31CBAA"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Number and date of the commission letter that motivated it;</w:t>
            </w:r>
          </w:p>
        </w:tc>
      </w:tr>
      <w:tr w:rsidR="009849AC" w:rsidRPr="009E69D6" w14:paraId="01C4B00C" w14:textId="7DFCB2BE" w:rsidTr="00F867DE">
        <w:tc>
          <w:tcPr>
            <w:tcW w:w="4711" w:type="dxa"/>
          </w:tcPr>
          <w:p w14:paraId="75FCE406"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Nombre de las personas verificadoras y el número de su credencial;</w:t>
            </w:r>
          </w:p>
        </w:tc>
        <w:tc>
          <w:tcPr>
            <w:tcW w:w="4649" w:type="dxa"/>
          </w:tcPr>
          <w:p w14:paraId="62621AE8" w14:textId="535EF932"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Name of the verifying persons and their credential number;</w:t>
            </w:r>
          </w:p>
        </w:tc>
      </w:tr>
      <w:tr w:rsidR="009849AC" w:rsidRPr="009E69D6" w14:paraId="7E1108C7" w14:textId="68AF2818" w:rsidTr="00F867DE">
        <w:tc>
          <w:tcPr>
            <w:tcW w:w="4711" w:type="dxa"/>
          </w:tcPr>
          <w:p w14:paraId="71A26531"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Domicilio, ubicación o descripción de la zona, del lugar o lugares objeto de la verificación;</w:t>
            </w:r>
          </w:p>
        </w:tc>
        <w:tc>
          <w:tcPr>
            <w:tcW w:w="4649" w:type="dxa"/>
          </w:tcPr>
          <w:p w14:paraId="22A21D8D" w14:textId="7D8AD51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Address, location or description of the area, place or places subject to verification;</w:t>
            </w:r>
          </w:p>
        </w:tc>
      </w:tr>
      <w:tr w:rsidR="009849AC" w:rsidRPr="009E69D6" w14:paraId="5A3B763A" w14:textId="4054753A" w:rsidTr="00F867DE">
        <w:tc>
          <w:tcPr>
            <w:tcW w:w="4711" w:type="dxa"/>
          </w:tcPr>
          <w:p w14:paraId="6E8AB480"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Nombre, denominación o razón social de la persona visitada;</w:t>
            </w:r>
          </w:p>
        </w:tc>
        <w:tc>
          <w:tcPr>
            <w:tcW w:w="4649" w:type="dxa"/>
          </w:tcPr>
          <w:p w14:paraId="03220518" w14:textId="521DE311"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Name, denomination or business name of the person visited;</w:t>
            </w:r>
          </w:p>
        </w:tc>
      </w:tr>
      <w:tr w:rsidR="009849AC" w:rsidRPr="009E69D6" w14:paraId="71B3519E" w14:textId="4B2A2716" w:rsidTr="00F867DE">
        <w:tc>
          <w:tcPr>
            <w:tcW w:w="4711" w:type="dxa"/>
          </w:tcPr>
          <w:p w14:paraId="36338648"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Nombre de la persona con quien se entiende la diligencia, el carácter con el que se ostenta y, en su caso, los documentos con los que lo acredite;</w:t>
            </w:r>
          </w:p>
        </w:tc>
        <w:tc>
          <w:tcPr>
            <w:tcW w:w="4649" w:type="dxa"/>
          </w:tcPr>
          <w:p w14:paraId="2B2A47C5" w14:textId="382137B8"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Name of the person with whom the procedure is understood, the character with which it is held and, where applicable, the documents that prove it;</w:t>
            </w:r>
          </w:p>
        </w:tc>
      </w:tr>
      <w:tr w:rsidR="009849AC" w:rsidRPr="009E69D6" w14:paraId="000A1FB7" w14:textId="101013B5" w:rsidTr="00F867DE">
        <w:tc>
          <w:tcPr>
            <w:tcW w:w="4711" w:type="dxa"/>
          </w:tcPr>
          <w:p w14:paraId="074F15F5"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El requerimiento a la persona con quien se entienda la diligencia para que designe dos personas que atestigüen y ante su negativa hacer constar que la persona verificadora los propuso;</w:t>
            </w:r>
          </w:p>
        </w:tc>
        <w:tc>
          <w:tcPr>
            <w:tcW w:w="4649" w:type="dxa"/>
          </w:tcPr>
          <w:p w14:paraId="53D0B0A3" w14:textId="196AF7CD"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The requirement to the person with whom the procedure is being carried out to appoint two persons to testify and, if they refuse, to state that the verifying person proposed them;</w:t>
            </w:r>
          </w:p>
        </w:tc>
      </w:tr>
      <w:tr w:rsidR="009849AC" w:rsidRPr="009E69D6" w14:paraId="0E3A0DEF" w14:textId="08154BAA" w:rsidTr="00F867DE">
        <w:tc>
          <w:tcPr>
            <w:tcW w:w="4711" w:type="dxa"/>
          </w:tcPr>
          <w:p w14:paraId="1F6F5C71"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IX.</w:t>
            </w:r>
            <w:r w:rsidRPr="00837D4A">
              <w:rPr>
                <w:rFonts w:ascii="Verdana" w:hAnsi="Verdana"/>
                <w:b/>
                <w:sz w:val="16"/>
                <w:szCs w:val="16"/>
              </w:rPr>
              <w:tab/>
            </w:r>
            <w:r w:rsidRPr="00837D4A">
              <w:rPr>
                <w:rFonts w:ascii="Verdana" w:hAnsi="Verdana"/>
                <w:sz w:val="16"/>
                <w:szCs w:val="16"/>
              </w:rPr>
              <w:t>El nombre de las personas que atestigüen y los datos de su identificación;</w:t>
            </w:r>
          </w:p>
        </w:tc>
        <w:tc>
          <w:tcPr>
            <w:tcW w:w="4649" w:type="dxa"/>
          </w:tcPr>
          <w:p w14:paraId="34046232" w14:textId="5828C325"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The names of the persons who will testify and their identification data;</w:t>
            </w:r>
          </w:p>
        </w:tc>
      </w:tr>
      <w:tr w:rsidR="009849AC" w:rsidRPr="009E69D6" w14:paraId="67B47935" w14:textId="2737DCCD" w:rsidTr="00F867DE">
        <w:tc>
          <w:tcPr>
            <w:tcW w:w="4711" w:type="dxa"/>
          </w:tcPr>
          <w:p w14:paraId="64353162" w14:textId="77777777" w:rsidR="009849AC" w:rsidRPr="00837D4A" w:rsidRDefault="009849AC" w:rsidP="009849AC">
            <w:pPr>
              <w:pStyle w:val="Texto"/>
              <w:ind w:firstLine="0"/>
              <w:rPr>
                <w:rFonts w:ascii="Verdana" w:hAnsi="Verdana"/>
                <w:sz w:val="16"/>
                <w:szCs w:val="16"/>
              </w:rPr>
            </w:pPr>
            <w:r w:rsidRPr="00837D4A">
              <w:rPr>
                <w:rFonts w:ascii="Verdana" w:hAnsi="Verdana"/>
                <w:b/>
                <w:sz w:val="16"/>
                <w:szCs w:val="16"/>
              </w:rPr>
              <w:t>X.</w:t>
            </w:r>
            <w:r w:rsidRPr="00837D4A">
              <w:rPr>
                <w:rFonts w:ascii="Verdana" w:hAnsi="Verdana"/>
                <w:b/>
                <w:sz w:val="16"/>
                <w:szCs w:val="16"/>
              </w:rPr>
              <w:tab/>
            </w:r>
            <w:r w:rsidRPr="00837D4A">
              <w:rPr>
                <w:rFonts w:ascii="Verdana" w:hAnsi="Verdana"/>
                <w:sz w:val="16"/>
                <w:szCs w:val="16"/>
              </w:rPr>
              <w:t>Descripción de los hechos, objetos, equipos, instalaciones, documentos, lugares y circunstancias que se observen, con relación al objeto y alcance señalados en la orden de la visita;</w:t>
            </w:r>
          </w:p>
        </w:tc>
        <w:tc>
          <w:tcPr>
            <w:tcW w:w="4649" w:type="dxa"/>
          </w:tcPr>
          <w:p w14:paraId="251E66A3" w14:textId="2ED3553C"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X. </w:t>
            </w:r>
            <w:r w:rsidRPr="00837D4A">
              <w:rPr>
                <w:rFonts w:ascii="Verdana" w:hAnsi="Verdana"/>
                <w:b/>
                <w:sz w:val="16"/>
                <w:szCs w:val="16"/>
                <w:lang w:val="en-US"/>
              </w:rPr>
              <w:tab/>
            </w:r>
            <w:r w:rsidRPr="00837D4A">
              <w:rPr>
                <w:rFonts w:ascii="Verdana" w:hAnsi="Verdana"/>
                <w:sz w:val="16"/>
                <w:szCs w:val="16"/>
                <w:lang w:val="en-US"/>
              </w:rPr>
              <w:t>Description of the facts, objects, equipment, facilities, documents, places and circumstances observed, in relation to the purpose and scope indicated in the visit order;</w:t>
            </w:r>
          </w:p>
        </w:tc>
      </w:tr>
      <w:tr w:rsidR="009849AC" w:rsidRPr="009E69D6" w14:paraId="792CC5DC" w14:textId="1A543D9B" w:rsidTr="00F867DE">
        <w:tc>
          <w:tcPr>
            <w:tcW w:w="4711" w:type="dxa"/>
          </w:tcPr>
          <w:p w14:paraId="119AC2B8"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XI.</w:t>
            </w:r>
            <w:r w:rsidRPr="00837D4A">
              <w:rPr>
                <w:rFonts w:ascii="Verdana" w:hAnsi="Verdana"/>
                <w:b/>
                <w:sz w:val="16"/>
                <w:szCs w:val="16"/>
              </w:rPr>
              <w:tab/>
            </w:r>
            <w:r w:rsidRPr="00837D4A">
              <w:rPr>
                <w:rFonts w:ascii="Verdana" w:hAnsi="Verdana"/>
                <w:sz w:val="16"/>
                <w:szCs w:val="16"/>
              </w:rPr>
              <w:t>La hora, día, mes y año de conclusión de la diligencia;</w:t>
            </w:r>
          </w:p>
        </w:tc>
        <w:tc>
          <w:tcPr>
            <w:tcW w:w="4649" w:type="dxa"/>
          </w:tcPr>
          <w:p w14:paraId="2CCC143D" w14:textId="23CDF754"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XI. </w:t>
            </w:r>
            <w:r w:rsidRPr="00837D4A">
              <w:rPr>
                <w:rFonts w:ascii="Verdana" w:hAnsi="Verdana"/>
                <w:b/>
                <w:sz w:val="16"/>
                <w:szCs w:val="16"/>
                <w:lang w:val="en-US"/>
              </w:rPr>
              <w:tab/>
            </w:r>
            <w:r w:rsidRPr="00837D4A">
              <w:rPr>
                <w:rFonts w:ascii="Verdana" w:hAnsi="Verdana"/>
                <w:sz w:val="16"/>
                <w:szCs w:val="16"/>
                <w:lang w:val="en-US"/>
              </w:rPr>
              <w:t>The time, day, month and year of the conclusion of the procedure;</w:t>
            </w:r>
          </w:p>
        </w:tc>
      </w:tr>
      <w:tr w:rsidR="009849AC" w:rsidRPr="009E69D6" w14:paraId="7B7CB32A" w14:textId="2C313317" w:rsidTr="00F867DE">
        <w:tc>
          <w:tcPr>
            <w:tcW w:w="4711" w:type="dxa"/>
          </w:tcPr>
          <w:p w14:paraId="45AF91E4" w14:textId="77777777" w:rsidR="009849AC" w:rsidRPr="00837D4A" w:rsidRDefault="009849AC" w:rsidP="009849AC">
            <w:pPr>
              <w:pStyle w:val="Texto"/>
              <w:ind w:firstLine="0"/>
              <w:rPr>
                <w:rFonts w:ascii="Verdana" w:hAnsi="Verdana"/>
                <w:b/>
                <w:sz w:val="16"/>
                <w:szCs w:val="16"/>
              </w:rPr>
            </w:pPr>
            <w:r w:rsidRPr="00837D4A">
              <w:rPr>
                <w:rFonts w:ascii="Verdana" w:hAnsi="Verdana"/>
                <w:b/>
                <w:sz w:val="16"/>
                <w:szCs w:val="16"/>
              </w:rPr>
              <w:t>XII.</w:t>
            </w:r>
            <w:r w:rsidRPr="00837D4A">
              <w:rPr>
                <w:rFonts w:ascii="Verdana" w:hAnsi="Verdana"/>
                <w:b/>
                <w:sz w:val="16"/>
                <w:szCs w:val="16"/>
              </w:rPr>
              <w:tab/>
            </w:r>
            <w:r w:rsidRPr="00837D4A">
              <w:rPr>
                <w:rFonts w:ascii="Verdana" w:hAnsi="Verdana"/>
                <w:sz w:val="16"/>
                <w:szCs w:val="16"/>
              </w:rPr>
              <w:t>Nombre y firma de las personas que intervinieron en la diligencia. En caso de que la persona visitada se niegue a firmar, la persona verificadora debe asentar tal circunstancia, sin que ello afecte su validez;</w:t>
            </w:r>
          </w:p>
        </w:tc>
        <w:tc>
          <w:tcPr>
            <w:tcW w:w="4649" w:type="dxa"/>
          </w:tcPr>
          <w:p w14:paraId="7681C568" w14:textId="20217E71" w:rsidR="009849AC" w:rsidRPr="00837D4A" w:rsidRDefault="009849AC" w:rsidP="009849AC">
            <w:pPr>
              <w:pStyle w:val="Texto"/>
              <w:ind w:firstLine="0"/>
              <w:rPr>
                <w:rFonts w:ascii="Verdana" w:hAnsi="Verdana"/>
                <w:b/>
                <w:sz w:val="16"/>
                <w:szCs w:val="16"/>
                <w:lang w:val="en-US"/>
              </w:rPr>
            </w:pPr>
            <w:r w:rsidRPr="00837D4A">
              <w:rPr>
                <w:rFonts w:ascii="Verdana" w:hAnsi="Verdana"/>
                <w:b/>
                <w:sz w:val="16"/>
                <w:szCs w:val="16"/>
                <w:lang w:val="en-US"/>
              </w:rPr>
              <w:t xml:space="preserve">XII. </w:t>
            </w:r>
            <w:r w:rsidRPr="00837D4A">
              <w:rPr>
                <w:rFonts w:ascii="Verdana" w:hAnsi="Verdana"/>
                <w:b/>
                <w:sz w:val="16"/>
                <w:szCs w:val="16"/>
                <w:lang w:val="en-US"/>
              </w:rPr>
              <w:tab/>
            </w:r>
            <w:r w:rsidRPr="00837D4A">
              <w:rPr>
                <w:rFonts w:ascii="Verdana" w:hAnsi="Verdana"/>
                <w:sz w:val="16"/>
                <w:szCs w:val="16"/>
                <w:lang w:val="en-US"/>
              </w:rPr>
              <w:t>Name and Signed of the persons involved in the procedure. If the person inspected refuses to sign, the inspecting person must note this circumstance, without affecting its validity;</w:t>
            </w:r>
          </w:p>
        </w:tc>
      </w:tr>
      <w:tr w:rsidR="009849AC" w:rsidRPr="009E69D6" w14:paraId="5CFC9119" w14:textId="6B7F0EA1" w:rsidTr="00F867DE">
        <w:tc>
          <w:tcPr>
            <w:tcW w:w="4711" w:type="dxa"/>
          </w:tcPr>
          <w:p w14:paraId="79F23C34"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lastRenderedPageBreak/>
              <w:t>XIII.</w:t>
            </w:r>
            <w:r w:rsidRPr="00837D4A">
              <w:rPr>
                <w:rFonts w:ascii="Verdana" w:hAnsi="Verdana"/>
                <w:b/>
                <w:sz w:val="16"/>
                <w:szCs w:val="16"/>
              </w:rPr>
              <w:tab/>
            </w:r>
            <w:r w:rsidRPr="00837D4A">
              <w:rPr>
                <w:rFonts w:ascii="Verdana" w:hAnsi="Verdana"/>
                <w:sz w:val="16"/>
                <w:szCs w:val="16"/>
              </w:rPr>
              <w:t>Las manifestaciones de la persona con quien se entienda la diligencia de visita, en caso de que las realice, y</w:t>
            </w:r>
          </w:p>
        </w:tc>
        <w:tc>
          <w:tcPr>
            <w:tcW w:w="4649" w:type="dxa"/>
          </w:tcPr>
          <w:p w14:paraId="04612D67" w14:textId="2C46F38C"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XIII. </w:t>
            </w:r>
            <w:r w:rsidRPr="00837D4A">
              <w:rPr>
                <w:rFonts w:ascii="Verdana" w:hAnsi="Verdana"/>
                <w:b/>
                <w:sz w:val="16"/>
                <w:szCs w:val="16"/>
                <w:lang w:val="en-US"/>
              </w:rPr>
              <w:tab/>
            </w:r>
            <w:r w:rsidRPr="00837D4A">
              <w:rPr>
                <w:rFonts w:ascii="Verdana" w:hAnsi="Verdana"/>
                <w:sz w:val="16"/>
                <w:szCs w:val="16"/>
                <w:lang w:val="en-US"/>
              </w:rPr>
              <w:t>The statements of the person with whom the inspection procedure is understood, if any, and</w:t>
            </w:r>
          </w:p>
        </w:tc>
      </w:tr>
      <w:tr w:rsidR="009849AC" w:rsidRPr="009E69D6" w14:paraId="109DAF57" w14:textId="1F178616" w:rsidTr="00F867DE">
        <w:tc>
          <w:tcPr>
            <w:tcW w:w="4711" w:type="dxa"/>
          </w:tcPr>
          <w:p w14:paraId="60574FCF"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XIV.</w:t>
            </w:r>
            <w:r w:rsidRPr="00837D4A">
              <w:rPr>
                <w:rFonts w:ascii="Verdana" w:hAnsi="Verdana"/>
                <w:b/>
                <w:sz w:val="16"/>
                <w:szCs w:val="16"/>
              </w:rPr>
              <w:tab/>
            </w:r>
            <w:r w:rsidRPr="00837D4A">
              <w:rPr>
                <w:rFonts w:ascii="Verdana" w:hAnsi="Verdana"/>
                <w:sz w:val="16"/>
                <w:szCs w:val="16"/>
              </w:rPr>
              <w:t>En caso de que, por cuestiones de seguridad, caso fortuito o fuerza mayor, una diligencia iniciada no pueda concluirse, la persona verificadora debe asentar en el acta respectiva las causas que dieron origen a su interrupción, sin que ello afecte la validez de los hechos y circunstancias previamente señaladas y las consecuencias jurídicas que de esta deriven.</w:t>
            </w:r>
          </w:p>
        </w:tc>
        <w:tc>
          <w:tcPr>
            <w:tcW w:w="4649" w:type="dxa"/>
          </w:tcPr>
          <w:p w14:paraId="647FC046" w14:textId="64476318"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XIV. </w:t>
            </w:r>
            <w:r w:rsidRPr="00837D4A">
              <w:rPr>
                <w:rFonts w:ascii="Verdana" w:hAnsi="Verdana"/>
                <w:b/>
                <w:sz w:val="16"/>
                <w:szCs w:val="16"/>
                <w:lang w:val="en-US"/>
              </w:rPr>
              <w:tab/>
            </w:r>
            <w:r w:rsidRPr="00837D4A">
              <w:rPr>
                <w:rFonts w:ascii="Verdana" w:hAnsi="Verdana"/>
                <w:sz w:val="16"/>
                <w:szCs w:val="16"/>
                <w:lang w:val="en-US"/>
              </w:rPr>
              <w:t>In the event that, for reasons of security, fortuitous event or force majeure, a procedure initiated cannot be concluded, the person in charge must record in the respective minutes the reasons that led to its interruption, without affecting the validity of the facts and circumstances previously indicated and the legal consequences arising from them.</w:t>
            </w:r>
          </w:p>
        </w:tc>
      </w:tr>
      <w:tr w:rsidR="009849AC" w:rsidRPr="009E69D6" w14:paraId="4B5F53F9" w14:textId="140025CF" w:rsidTr="00F867DE">
        <w:tc>
          <w:tcPr>
            <w:tcW w:w="4711" w:type="dxa"/>
          </w:tcPr>
          <w:p w14:paraId="0C5C48BE"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Para efectos de la fracción VIII del presente artículo, se debe estar a lo siguiente:</w:t>
            </w:r>
          </w:p>
        </w:tc>
        <w:tc>
          <w:tcPr>
            <w:tcW w:w="4649" w:type="dxa"/>
          </w:tcPr>
          <w:p w14:paraId="64B72AA6" w14:textId="21B17F4A"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For the purposes of section VIII of this article, the following must apply:</w:t>
            </w:r>
          </w:p>
        </w:tc>
      </w:tr>
      <w:tr w:rsidR="009849AC" w:rsidRPr="009E69D6" w14:paraId="6CA38023" w14:textId="61EC01D6" w:rsidTr="00F867DE">
        <w:tc>
          <w:tcPr>
            <w:tcW w:w="4711" w:type="dxa"/>
          </w:tcPr>
          <w:p w14:paraId="23256514"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Ante la negativa de la persona con quien se entienda la visita de verificación a nombrar testigos, estos deben ser nombrados por la persona verificadora, y se debe asentar dicha circunstancia en el acta de visita de verificación;</w:t>
            </w:r>
          </w:p>
        </w:tc>
        <w:tc>
          <w:tcPr>
            <w:tcW w:w="4649" w:type="dxa"/>
          </w:tcPr>
          <w:p w14:paraId="360F5F49" w14:textId="316CFF1E"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If the person with whom the verification visit is to be carried out refuses to appoint witnesses, these must be appointed by the verifying person, and this circumstance must be recorded in the verification visit report;</w:t>
            </w:r>
          </w:p>
        </w:tc>
      </w:tr>
      <w:tr w:rsidR="009849AC" w:rsidRPr="009E69D6" w14:paraId="25C1E7B1" w14:textId="06C7469E" w:rsidTr="00F867DE">
        <w:tc>
          <w:tcPr>
            <w:tcW w:w="4711" w:type="dxa"/>
          </w:tcPr>
          <w:p w14:paraId="5777B0AE"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En el supuesto de que no sea posible que persona alguna pueda fungir como testigo, la persona verificadora debe asentar tal circunstancia en el acta, sin que esto afecte su validez, y</w:t>
            </w:r>
          </w:p>
        </w:tc>
        <w:tc>
          <w:tcPr>
            <w:tcW w:w="4649" w:type="dxa"/>
          </w:tcPr>
          <w:p w14:paraId="25ECDFBC" w14:textId="7FB480A0"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In the event that it is not possible for any person to act as a witness, the verifying person must record such circumstance in the minutes, without this affecting its validity, and</w:t>
            </w:r>
          </w:p>
        </w:tc>
      </w:tr>
      <w:tr w:rsidR="009849AC" w:rsidRPr="009E69D6" w14:paraId="73FF718D" w14:textId="0B4FFBF4" w:rsidTr="00F867DE">
        <w:tc>
          <w:tcPr>
            <w:tcW w:w="4711" w:type="dxa"/>
          </w:tcPr>
          <w:p w14:paraId="1AE23B08"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Si alguna de las personas designadas como testigos se ausenta en alguna etapa de la visita de verificación, se debe requerir a la persona con quien se entienda la visita, para que nombre a su sustituto y, en caso de que se niegue, de ser posible la persona verificadora debe nombrarlo y asentar dicha circunstancia en el acta de visita de verificación, sin que esto afecte su validez.</w:t>
            </w:r>
          </w:p>
        </w:tc>
        <w:tc>
          <w:tcPr>
            <w:tcW w:w="4649" w:type="dxa"/>
          </w:tcPr>
          <w:p w14:paraId="16816C27" w14:textId="0A6BDE33"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c) </w:t>
            </w:r>
            <w:r w:rsidRPr="00837D4A">
              <w:rPr>
                <w:rFonts w:ascii="Verdana" w:hAnsi="Verdana"/>
                <w:b/>
                <w:sz w:val="16"/>
                <w:szCs w:val="16"/>
                <w:lang w:val="en-US"/>
              </w:rPr>
              <w:tab/>
            </w:r>
            <w:r w:rsidRPr="00837D4A">
              <w:rPr>
                <w:rFonts w:ascii="Verdana" w:hAnsi="Verdana"/>
                <w:sz w:val="16"/>
                <w:szCs w:val="16"/>
                <w:lang w:val="en-US"/>
              </w:rPr>
              <w:t>If any of the persons designated as witnesses is absent at any stage of the verification visit, the person with whom the visit is to be held must be asked to name his or her substitute and, if he or she refuses, if possible the verifying person must name him or her and record this circumstance in the verification visit record, without this affecting its validity.</w:t>
            </w:r>
          </w:p>
        </w:tc>
      </w:tr>
      <w:tr w:rsidR="009849AC" w:rsidRPr="009E69D6" w14:paraId="00E177DD" w14:textId="7E1EC398" w:rsidTr="00F867DE">
        <w:tc>
          <w:tcPr>
            <w:tcW w:w="4711" w:type="dxa"/>
          </w:tcPr>
          <w:p w14:paraId="29B431A6"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273.</w:t>
            </w:r>
            <w:r w:rsidRPr="00837D4A">
              <w:rPr>
                <w:rFonts w:ascii="Verdana" w:hAnsi="Verdana"/>
                <w:sz w:val="16"/>
                <w:szCs w:val="16"/>
              </w:rPr>
              <w:t xml:space="preserve"> Las personas verificadoras se encuentran dotadas de fe pública en los actos en que intervienen conforme al ejercicio de sus atribuciones y, por tanto, estos deben presumirse por ciertos, salvo prueba en contrario.</w:t>
            </w:r>
          </w:p>
        </w:tc>
        <w:tc>
          <w:tcPr>
            <w:tcW w:w="4649" w:type="dxa"/>
          </w:tcPr>
          <w:p w14:paraId="7D429D98" w14:textId="6737FE73"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273. </w:t>
            </w:r>
            <w:r w:rsidRPr="00837D4A">
              <w:rPr>
                <w:rFonts w:ascii="Verdana" w:hAnsi="Verdana"/>
                <w:sz w:val="16"/>
                <w:szCs w:val="16"/>
                <w:lang w:val="en-US"/>
              </w:rPr>
              <w:t>Verifying persons are endowed with public faith in the acts in which they intervene in accordance with the exercise of their powers and, therefore, these must be presumed to be true, unless proven otherwise.</w:t>
            </w:r>
          </w:p>
        </w:tc>
      </w:tr>
      <w:tr w:rsidR="009849AC" w:rsidRPr="009E69D6" w14:paraId="352C983B" w14:textId="7FA4C853" w:rsidTr="00F867DE">
        <w:tc>
          <w:tcPr>
            <w:tcW w:w="4711" w:type="dxa"/>
          </w:tcPr>
          <w:p w14:paraId="64C0027E"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274.</w:t>
            </w:r>
            <w:r w:rsidRPr="00837D4A">
              <w:rPr>
                <w:rFonts w:ascii="Verdana" w:hAnsi="Verdana"/>
                <w:sz w:val="16"/>
                <w:szCs w:val="16"/>
              </w:rPr>
              <w:t xml:space="preserve"> Las personas verificadoras, tienen las facultades y obligaciones siguientes:</w:t>
            </w:r>
          </w:p>
        </w:tc>
        <w:tc>
          <w:tcPr>
            <w:tcW w:w="4649" w:type="dxa"/>
          </w:tcPr>
          <w:p w14:paraId="6FA61EF2" w14:textId="6A297D42"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274. </w:t>
            </w:r>
            <w:r w:rsidRPr="00837D4A">
              <w:rPr>
                <w:rFonts w:ascii="Verdana" w:hAnsi="Verdana"/>
                <w:sz w:val="16"/>
                <w:szCs w:val="16"/>
                <w:lang w:val="en-US"/>
              </w:rPr>
              <w:t>Verifying persons have the following powers and obligations:</w:t>
            </w:r>
          </w:p>
        </w:tc>
      </w:tr>
      <w:tr w:rsidR="009849AC" w:rsidRPr="009E69D6" w14:paraId="3E7FB3D8" w14:textId="52FE216D" w:rsidTr="00F867DE">
        <w:tc>
          <w:tcPr>
            <w:tcW w:w="4711" w:type="dxa"/>
          </w:tcPr>
          <w:p w14:paraId="0AD8E96D"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Recibir y ejecutar las órdenes de visita de verificación, notificaciones, citaciones, emplazamientos, requerimientos, resoluciones, acuerdos, y demás actos y diligencias determinadas por la Secretaría o la Comisión, según corresponda;</w:t>
            </w:r>
          </w:p>
        </w:tc>
        <w:tc>
          <w:tcPr>
            <w:tcW w:w="4649" w:type="dxa"/>
          </w:tcPr>
          <w:p w14:paraId="7A5521A5" w14:textId="58993EDB"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Receive and execute verification visit orders, notifications, summonses, requests, resolutions, agreements, and other acts and proceedings determined by the Secretary or the Commission, as appropriate;</w:t>
            </w:r>
          </w:p>
        </w:tc>
      </w:tr>
      <w:tr w:rsidR="009849AC" w:rsidRPr="009E69D6" w14:paraId="15F31A60" w14:textId="2EF8A8FC" w:rsidTr="00F867DE">
        <w:tc>
          <w:tcPr>
            <w:tcW w:w="4711" w:type="dxa"/>
          </w:tcPr>
          <w:p w14:paraId="4423369E"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Practicar las diligencias encomendadas de conformidad con las formalidades previstas para tales efectos en la Normatividad aplicable;</w:t>
            </w:r>
          </w:p>
        </w:tc>
        <w:tc>
          <w:tcPr>
            <w:tcW w:w="4649" w:type="dxa"/>
          </w:tcPr>
          <w:p w14:paraId="147790B5" w14:textId="1E7952B8"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Carry out the entrusted procedures in accordance with the formalities provided for such purposes in the applicable legislation;</w:t>
            </w:r>
          </w:p>
        </w:tc>
      </w:tr>
      <w:tr w:rsidR="009849AC" w:rsidRPr="009E69D6" w14:paraId="17DBD8A0" w14:textId="49F73C55" w:rsidTr="00F867DE">
        <w:tc>
          <w:tcPr>
            <w:tcW w:w="4711" w:type="dxa"/>
          </w:tcPr>
          <w:p w14:paraId="2A479996"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Ejecutar en sus términos las medidas precautorias que procedan en términos de la Normatividad aplicable, y</w:t>
            </w:r>
          </w:p>
        </w:tc>
        <w:tc>
          <w:tcPr>
            <w:tcW w:w="4649" w:type="dxa"/>
          </w:tcPr>
          <w:p w14:paraId="2CD254C8" w14:textId="211A9DC1"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Execute in its terms the precautionary measures that proceed in terms of the applicable legislation, and</w:t>
            </w:r>
          </w:p>
        </w:tc>
      </w:tr>
      <w:tr w:rsidR="009849AC" w:rsidRPr="009E69D6" w14:paraId="1CD743FF" w14:textId="1C0B5693" w:rsidTr="00F867DE">
        <w:tc>
          <w:tcPr>
            <w:tcW w:w="4711" w:type="dxa"/>
          </w:tcPr>
          <w:p w14:paraId="68123063" w14:textId="77777777" w:rsidR="009849AC" w:rsidRPr="00837D4A" w:rsidRDefault="009849AC" w:rsidP="009849AC">
            <w:pPr>
              <w:pStyle w:val="Texto"/>
              <w:spacing w:line="230"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Las demás que se establezcan en la Normatividad conducente.</w:t>
            </w:r>
          </w:p>
        </w:tc>
        <w:tc>
          <w:tcPr>
            <w:tcW w:w="4649" w:type="dxa"/>
          </w:tcPr>
          <w:p w14:paraId="7A04F7AD" w14:textId="61B8EB65"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Others established in the relevant legislation.</w:t>
            </w:r>
          </w:p>
        </w:tc>
      </w:tr>
      <w:tr w:rsidR="009849AC" w:rsidRPr="009E69D6" w14:paraId="1CC364CF" w14:textId="2B9EA37B" w:rsidTr="00F867DE">
        <w:tc>
          <w:tcPr>
            <w:tcW w:w="4711" w:type="dxa"/>
          </w:tcPr>
          <w:p w14:paraId="0958550C"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275.</w:t>
            </w:r>
            <w:r w:rsidRPr="00837D4A">
              <w:rPr>
                <w:rFonts w:ascii="Verdana" w:hAnsi="Verdana"/>
                <w:sz w:val="16"/>
                <w:szCs w:val="16"/>
              </w:rPr>
              <w:t xml:space="preserve"> La persona verificadora debe dar oportunidad al visitado para que en el mismo acto de la </w:t>
            </w:r>
            <w:r w:rsidRPr="00837D4A">
              <w:rPr>
                <w:rFonts w:ascii="Verdana" w:hAnsi="Verdana"/>
                <w:sz w:val="16"/>
                <w:szCs w:val="16"/>
              </w:rPr>
              <w:lastRenderedPageBreak/>
              <w:t>diligencia formule manifestaciones u observaciones y ofrezca las pruebas que considere convenientes en relación con los hechos, hallazgos u omisiones detectados y asentados en el acta circunstanciada respectiva, o haga uso de ese derecho por escrito dentro del término de cinco días hábiles siguientes contados a partir de la fecha en que se haya levantado el acta de verificación.</w:t>
            </w:r>
          </w:p>
        </w:tc>
        <w:tc>
          <w:tcPr>
            <w:tcW w:w="4649" w:type="dxa"/>
          </w:tcPr>
          <w:p w14:paraId="7FF2746E" w14:textId="63AD2745"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275. </w:t>
            </w:r>
            <w:r w:rsidRPr="00837D4A">
              <w:rPr>
                <w:rFonts w:ascii="Verdana" w:hAnsi="Verdana"/>
                <w:sz w:val="16"/>
                <w:szCs w:val="16"/>
                <w:lang w:val="en-US"/>
              </w:rPr>
              <w:t xml:space="preserve">The inspecting person must give the person inspected the opportunity to make statements </w:t>
            </w:r>
            <w:r w:rsidRPr="00837D4A">
              <w:rPr>
                <w:rFonts w:ascii="Verdana" w:hAnsi="Verdana"/>
                <w:sz w:val="16"/>
                <w:szCs w:val="16"/>
                <w:lang w:val="en-US"/>
              </w:rPr>
              <w:lastRenderedPageBreak/>
              <w:t>or observations and offer any evidence they deem appropriate in relation to the facts, findings or omissions detected and recorded in the respective detailed report, or to exercise this right in writing within five business days from the date on which the verification report was drawn up.</w:t>
            </w:r>
          </w:p>
        </w:tc>
      </w:tr>
      <w:tr w:rsidR="009849AC" w:rsidRPr="009E69D6" w14:paraId="6BF77F1A" w14:textId="13699C7F" w:rsidTr="00F867DE">
        <w:tc>
          <w:tcPr>
            <w:tcW w:w="4711" w:type="dxa"/>
          </w:tcPr>
          <w:p w14:paraId="0EFF1C90"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lastRenderedPageBreak/>
              <w:t>Concluida la visita de verificación, se debe proceder a firmar por duplicado el acta por la persona con quien se entendió la diligencia, por la persona verificadora y en su caso por las personas que atestigüen conforme a lo señalado en el artículo 272 de este reglamento, y entregar un original del acta al interesado.</w:t>
            </w:r>
          </w:p>
        </w:tc>
        <w:tc>
          <w:tcPr>
            <w:tcW w:w="4649" w:type="dxa"/>
          </w:tcPr>
          <w:p w14:paraId="55A5636A" w14:textId="04C86008"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Once the verification visit is completed, the minutes must be signed in duplicate by the person with whom the procedure was conducted, by the person in charge of the verification, and, where applicable, by the persons who testify in accordance with Article 272 of this regulation, and an original of the minutes must be delivered to the interested party.</w:t>
            </w:r>
          </w:p>
        </w:tc>
      </w:tr>
      <w:tr w:rsidR="009849AC" w:rsidRPr="009E69D6" w14:paraId="2CD90E0B" w14:textId="44E3CAF3" w:rsidTr="00F867DE">
        <w:tc>
          <w:tcPr>
            <w:tcW w:w="4711" w:type="dxa"/>
          </w:tcPr>
          <w:p w14:paraId="10D3EA88"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276.</w:t>
            </w:r>
            <w:r w:rsidRPr="00837D4A">
              <w:rPr>
                <w:rFonts w:ascii="Verdana" w:hAnsi="Verdana"/>
                <w:sz w:val="16"/>
                <w:szCs w:val="16"/>
              </w:rPr>
              <w:t xml:space="preserve"> Dentro del plazo de cuarenta días hábiles siguientes a la conclusión del término otorgado a la persona visitada para formular manifestaciones u observaciones y ofrecer pruebas, la Secretaría o la Comisión, según corresponda, debe emitir la resolución que concluya el procedimiento de visita de verificación, en la cual se defina la situación jurídica de la persona visitada.</w:t>
            </w:r>
          </w:p>
        </w:tc>
        <w:tc>
          <w:tcPr>
            <w:tcW w:w="4649" w:type="dxa"/>
          </w:tcPr>
          <w:p w14:paraId="71EDA643" w14:textId="374F662D"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276. </w:t>
            </w:r>
            <w:r w:rsidRPr="00837D4A">
              <w:rPr>
                <w:rFonts w:ascii="Verdana" w:hAnsi="Verdana"/>
                <w:sz w:val="16"/>
                <w:szCs w:val="16"/>
                <w:lang w:val="en-US"/>
              </w:rPr>
              <w:t>Within forty business days following the conclusion of the period granted to the person visited to make statements or observations and offer evidence, the Secretary or the Commission, as appropriate, must issue the resolution concluding the verification visit procedure, in which the legal status of the person visited is defined.</w:t>
            </w:r>
          </w:p>
        </w:tc>
      </w:tr>
      <w:tr w:rsidR="009849AC" w:rsidRPr="009E69D6" w14:paraId="7A558F38" w14:textId="45105E50" w:rsidTr="00F867DE">
        <w:tc>
          <w:tcPr>
            <w:tcW w:w="4711" w:type="dxa"/>
          </w:tcPr>
          <w:p w14:paraId="1DFC7D09"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b/>
                <w:sz w:val="16"/>
                <w:szCs w:val="16"/>
              </w:rPr>
              <w:t>Artículo 277.</w:t>
            </w:r>
            <w:r w:rsidRPr="00837D4A">
              <w:rPr>
                <w:rFonts w:ascii="Verdana" w:hAnsi="Verdana"/>
                <w:sz w:val="16"/>
                <w:szCs w:val="16"/>
              </w:rPr>
              <w:t xml:space="preserve"> La resolución a que se refiere el artículo anterior debe señalar los motivos y fundamentos que sustentan las obligaciones que se consideren posiblemente incumplidas, o bien, se debe determinar la inexistencia de posibles incumplimientos.</w:t>
            </w:r>
          </w:p>
        </w:tc>
        <w:tc>
          <w:tcPr>
            <w:tcW w:w="4649" w:type="dxa"/>
          </w:tcPr>
          <w:p w14:paraId="1FFEF436" w14:textId="769709B7" w:rsidR="009849AC" w:rsidRPr="00837D4A" w:rsidRDefault="009849AC" w:rsidP="009849AC">
            <w:pPr>
              <w:pStyle w:val="Texto"/>
              <w:spacing w:line="230" w:lineRule="exact"/>
              <w:ind w:firstLine="0"/>
              <w:rPr>
                <w:rFonts w:ascii="Verdana" w:hAnsi="Verdana"/>
                <w:b/>
                <w:sz w:val="16"/>
                <w:szCs w:val="16"/>
                <w:lang w:val="en-US"/>
              </w:rPr>
            </w:pPr>
            <w:r w:rsidRPr="00837D4A">
              <w:rPr>
                <w:rFonts w:ascii="Verdana" w:hAnsi="Verdana"/>
                <w:b/>
                <w:sz w:val="16"/>
                <w:szCs w:val="16"/>
                <w:lang w:val="en-US"/>
              </w:rPr>
              <w:t xml:space="preserve">Article 277. </w:t>
            </w:r>
            <w:r w:rsidRPr="00837D4A">
              <w:rPr>
                <w:rFonts w:ascii="Verdana" w:hAnsi="Verdana"/>
                <w:sz w:val="16"/>
                <w:szCs w:val="16"/>
                <w:lang w:val="en-US"/>
              </w:rPr>
              <w:t>The resolution referred to in the preceding article must state the reasons and grounds that support the obligations that are considered possibly unfulfilled, or it must determine that there are no possible breaches.</w:t>
            </w:r>
          </w:p>
        </w:tc>
      </w:tr>
      <w:tr w:rsidR="009849AC" w:rsidRPr="009E69D6" w14:paraId="04E1A5D1" w14:textId="12EB8A98" w:rsidTr="00F867DE">
        <w:tc>
          <w:tcPr>
            <w:tcW w:w="4711" w:type="dxa"/>
          </w:tcPr>
          <w:p w14:paraId="3F644617" w14:textId="77777777" w:rsidR="009849AC" w:rsidRPr="00837D4A" w:rsidRDefault="009849AC" w:rsidP="009849AC">
            <w:pPr>
              <w:pStyle w:val="Texto"/>
              <w:spacing w:line="230" w:lineRule="exact"/>
              <w:ind w:firstLine="0"/>
              <w:rPr>
                <w:rFonts w:ascii="Verdana" w:hAnsi="Verdana"/>
                <w:sz w:val="16"/>
                <w:szCs w:val="16"/>
              </w:rPr>
            </w:pPr>
            <w:r w:rsidRPr="00837D4A">
              <w:rPr>
                <w:rFonts w:ascii="Verdana" w:hAnsi="Verdana"/>
                <w:sz w:val="16"/>
                <w:szCs w:val="16"/>
              </w:rPr>
              <w:t>Si, como resultado de la visita, la Secretaría o la Comisión detectan posibles incumplimientos, en la resolución que concluya el procedimiento de visita de verificación pueden requerir a la persona visitada, para que en un plazo máximo de veinte días hábiles solvente los posibles incumplimientos detectados, solo en los supuestos en que las conductas u omisiones detectadas cumplan con los requisitos establecidos en el artículo 303, primer párrafo de este reglamento, y no se ubiquen en los supuestos establecidos en las fracciones I, II, III o IV del indicado artículo.</w:t>
            </w:r>
          </w:p>
        </w:tc>
        <w:tc>
          <w:tcPr>
            <w:tcW w:w="4649" w:type="dxa"/>
          </w:tcPr>
          <w:p w14:paraId="7130ADED" w14:textId="7DACA506" w:rsidR="009849AC" w:rsidRPr="00837D4A" w:rsidRDefault="009849AC" w:rsidP="009849AC">
            <w:pPr>
              <w:pStyle w:val="Texto"/>
              <w:spacing w:line="230" w:lineRule="exact"/>
              <w:ind w:firstLine="0"/>
              <w:rPr>
                <w:rFonts w:ascii="Verdana" w:hAnsi="Verdana"/>
                <w:sz w:val="16"/>
                <w:szCs w:val="16"/>
                <w:lang w:val="en-US"/>
              </w:rPr>
            </w:pPr>
            <w:r w:rsidRPr="00837D4A">
              <w:rPr>
                <w:rFonts w:ascii="Verdana" w:hAnsi="Verdana"/>
                <w:sz w:val="16"/>
                <w:szCs w:val="16"/>
                <w:lang w:val="en-US"/>
              </w:rPr>
              <w:t>If, as a result of the visit, the Secretary or the Commission detects possible non-compliance, in the resolution concluding the verification visit procedure they may require the person visited to resolve any potential non-compliance detected within a maximum period of twenty business days, only in cases where the conduct or omissions detected comply with the requirements established in the first paragraph of article 303 of this regulation, and do not fall into the situations established in sections I, II, III or IV of the aforementioned article.</w:t>
            </w:r>
          </w:p>
        </w:tc>
      </w:tr>
      <w:tr w:rsidR="009849AC" w:rsidRPr="009E69D6" w14:paraId="0C0425E0" w14:textId="738D4C97" w:rsidTr="00F867DE">
        <w:tc>
          <w:tcPr>
            <w:tcW w:w="4711" w:type="dxa"/>
          </w:tcPr>
          <w:p w14:paraId="5FA30503"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Dentro del plazo de cuarenta días hábiles siguientes a la conclusión del plazo otorgado a la persona visitada para que solvente los posibles incumplimientos detectados, la Secretaría o la Comisión, según corresponda, deben emitir la resolución que tenga por solventada o desvirtuada la posible irregularidad administrativa detectada o bien la que inicie el procedimiento administrativo de sanción que corresponda.</w:t>
            </w:r>
          </w:p>
        </w:tc>
        <w:tc>
          <w:tcPr>
            <w:tcW w:w="4649" w:type="dxa"/>
          </w:tcPr>
          <w:p w14:paraId="0EC0217D" w14:textId="39F8BB63"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Within forty business days following the conclusion of the period granted to the person inspected to resolve any potential non-compliance detected, the Secretary or the Commission, as appropriate, must issue a resolution that resolves or refutes the potential administrative irregularity detected, or initiates the corresponding administrative sanction procedure.</w:t>
            </w:r>
          </w:p>
        </w:tc>
      </w:tr>
      <w:tr w:rsidR="009849AC" w:rsidRPr="009E69D6" w14:paraId="72E29B26" w14:textId="7BD169C9" w:rsidTr="00F867DE">
        <w:tc>
          <w:tcPr>
            <w:tcW w:w="4711" w:type="dxa"/>
          </w:tcPr>
          <w:p w14:paraId="162DB76D"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 xml:space="preserve">En caso de que los posibles incumplimientos detectados no cumplan con los requisitos establecidos en el artículo 303, primer párrafo </w:t>
            </w:r>
            <w:r w:rsidRPr="00837D4A">
              <w:rPr>
                <w:rFonts w:ascii="Verdana" w:hAnsi="Verdana"/>
                <w:sz w:val="16"/>
                <w:szCs w:val="16"/>
                <w:lang w:val="es"/>
              </w:rPr>
              <w:t>de este reglamento, o se ubiquen en alguno de los supuestos previstos en las fracciones I, II, III o IV del citado artículo</w:t>
            </w:r>
            <w:r w:rsidRPr="00837D4A">
              <w:rPr>
                <w:rFonts w:ascii="Verdana" w:hAnsi="Verdana"/>
                <w:sz w:val="16"/>
                <w:szCs w:val="16"/>
              </w:rPr>
              <w:t xml:space="preserve">, la Secretaría o la Comisión, según corresponda, deben dictar, en un plazo </w:t>
            </w:r>
            <w:r w:rsidRPr="00837D4A">
              <w:rPr>
                <w:rFonts w:ascii="Verdana" w:hAnsi="Verdana"/>
                <w:sz w:val="16"/>
                <w:szCs w:val="16"/>
              </w:rPr>
              <w:lastRenderedPageBreak/>
              <w:t>no mayor a cuarenta días hábiles contados a partir de la emisión de la resolución que concluya el procedimiento de visita de verificación, el inicio del procedimiento administrativo de sanción que corresponda.</w:t>
            </w:r>
          </w:p>
        </w:tc>
        <w:tc>
          <w:tcPr>
            <w:tcW w:w="4649" w:type="dxa"/>
          </w:tcPr>
          <w:p w14:paraId="2BD438C2" w14:textId="3B4639BE"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lastRenderedPageBreak/>
              <w:t xml:space="preserve">In the event that the possible non-compliances detected do not comply with the requirements established in article 303, first paragraph of this regulation, or are located in any of the cases provided for in sections I, II, III or IV of the aforementioned article, the Secretary or the Commission, as </w:t>
            </w:r>
            <w:r w:rsidRPr="00837D4A">
              <w:rPr>
                <w:rFonts w:ascii="Verdana" w:hAnsi="Verdana"/>
                <w:sz w:val="16"/>
                <w:szCs w:val="16"/>
                <w:lang w:val="en-US"/>
              </w:rPr>
              <w:lastRenderedPageBreak/>
              <w:t>appropriate, must dictate, within a period of no more than forty business days from the issuance of the resolution that concludes the verification visit procedure, the initiation of the corresponding administrative sanction procedure.</w:t>
            </w:r>
          </w:p>
        </w:tc>
      </w:tr>
      <w:tr w:rsidR="009849AC" w:rsidRPr="00D0180E" w14:paraId="5B14AD44" w14:textId="07924452" w:rsidTr="00F867DE">
        <w:tc>
          <w:tcPr>
            <w:tcW w:w="4711" w:type="dxa"/>
          </w:tcPr>
          <w:p w14:paraId="7A66F6BD" w14:textId="77777777" w:rsidR="009849AC" w:rsidRPr="00837D4A" w:rsidRDefault="009849AC" w:rsidP="009849AC">
            <w:pPr>
              <w:pStyle w:val="Texto"/>
              <w:spacing w:line="238" w:lineRule="exact"/>
              <w:ind w:firstLine="0"/>
              <w:jc w:val="center"/>
              <w:rPr>
                <w:rFonts w:ascii="Verdana" w:hAnsi="Verdana"/>
                <w:sz w:val="16"/>
                <w:szCs w:val="16"/>
              </w:rPr>
            </w:pPr>
            <w:r w:rsidRPr="00837D4A">
              <w:rPr>
                <w:rFonts w:ascii="Verdana" w:hAnsi="Verdana"/>
                <w:b/>
                <w:sz w:val="16"/>
                <w:szCs w:val="16"/>
              </w:rPr>
              <w:lastRenderedPageBreak/>
              <w:t>Capítulo III</w:t>
            </w:r>
          </w:p>
        </w:tc>
        <w:tc>
          <w:tcPr>
            <w:tcW w:w="4649" w:type="dxa"/>
          </w:tcPr>
          <w:p w14:paraId="1153A91A" w14:textId="7F0DCA65" w:rsidR="009849AC" w:rsidRPr="00837D4A" w:rsidRDefault="009849AC" w:rsidP="009849AC">
            <w:pPr>
              <w:pStyle w:val="Texto"/>
              <w:spacing w:line="238"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III</w:t>
            </w:r>
          </w:p>
        </w:tc>
      </w:tr>
      <w:tr w:rsidR="009849AC" w:rsidRPr="009E69D6" w14:paraId="38589883" w14:textId="518AFD79" w:rsidTr="00F867DE">
        <w:tc>
          <w:tcPr>
            <w:tcW w:w="4711" w:type="dxa"/>
          </w:tcPr>
          <w:p w14:paraId="4347E63D" w14:textId="77777777" w:rsidR="009849AC" w:rsidRPr="00837D4A" w:rsidRDefault="009849AC" w:rsidP="009849AC">
            <w:pPr>
              <w:pStyle w:val="Texto"/>
              <w:spacing w:line="238" w:lineRule="exact"/>
              <w:ind w:firstLine="0"/>
              <w:jc w:val="center"/>
              <w:rPr>
                <w:rFonts w:ascii="Verdana" w:hAnsi="Verdana"/>
                <w:sz w:val="16"/>
                <w:szCs w:val="16"/>
              </w:rPr>
            </w:pPr>
            <w:r w:rsidRPr="00837D4A">
              <w:rPr>
                <w:rFonts w:ascii="Verdana" w:hAnsi="Verdana"/>
                <w:b/>
                <w:sz w:val="16"/>
                <w:szCs w:val="16"/>
              </w:rPr>
              <w:t>De la Verificación mediante Requerimientos y Comparecencias</w:t>
            </w:r>
          </w:p>
        </w:tc>
        <w:tc>
          <w:tcPr>
            <w:tcW w:w="4649" w:type="dxa"/>
          </w:tcPr>
          <w:p w14:paraId="5C2AD92E" w14:textId="4F1A7635" w:rsidR="009849AC" w:rsidRPr="00837D4A" w:rsidRDefault="009849AC" w:rsidP="009849AC">
            <w:pPr>
              <w:pStyle w:val="Texto"/>
              <w:spacing w:line="238" w:lineRule="exact"/>
              <w:ind w:firstLine="0"/>
              <w:jc w:val="center"/>
              <w:rPr>
                <w:rFonts w:ascii="Verdana" w:hAnsi="Verdana"/>
                <w:b/>
                <w:sz w:val="16"/>
                <w:szCs w:val="16"/>
                <w:lang w:val="en-US"/>
              </w:rPr>
            </w:pPr>
            <w:r w:rsidRPr="00837D4A">
              <w:rPr>
                <w:rFonts w:ascii="Verdana" w:hAnsi="Verdana"/>
                <w:b/>
                <w:sz w:val="16"/>
                <w:szCs w:val="16"/>
                <w:lang w:val="en-US"/>
              </w:rPr>
              <w:t>Verification through Requests and Appearances</w:t>
            </w:r>
          </w:p>
        </w:tc>
      </w:tr>
      <w:tr w:rsidR="009849AC" w:rsidRPr="009E69D6" w14:paraId="56A58C9D" w14:textId="72DAABD3" w:rsidTr="00F867DE">
        <w:tc>
          <w:tcPr>
            <w:tcW w:w="4711" w:type="dxa"/>
          </w:tcPr>
          <w:p w14:paraId="39DFB813"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Artículo 278.</w:t>
            </w:r>
            <w:r w:rsidRPr="00837D4A">
              <w:rPr>
                <w:rFonts w:ascii="Verdana" w:hAnsi="Verdana"/>
                <w:sz w:val="16"/>
                <w:szCs w:val="16"/>
              </w:rPr>
              <w:t xml:space="preserve"> Para efectos de este Capítulo, se entiende por verificación mediante requerimientos y comparecencias, a las actividades que realizan la Secretaría y la Comisión para supervisar y vigilar, en el ámbito de sus respectivas competencias, el cumplimiento de la Ley, el presente reglamento, Normas Oficiales Mexicanas, y demás Normatividad aplicable al sector hidrocarburos, mediante la realización de requerimientos de información, de informes y acceso a bases de datos, así como la citación a comparecer en la sede que la Secretaría o la Comisión determinen.</w:t>
            </w:r>
          </w:p>
        </w:tc>
        <w:tc>
          <w:tcPr>
            <w:tcW w:w="4649" w:type="dxa"/>
          </w:tcPr>
          <w:p w14:paraId="49FEAFFE" w14:textId="14B77C46"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278. </w:t>
            </w:r>
            <w:r w:rsidRPr="00837D4A">
              <w:rPr>
                <w:rFonts w:ascii="Verdana" w:hAnsi="Verdana"/>
                <w:sz w:val="16"/>
                <w:szCs w:val="16"/>
                <w:lang w:val="en-US"/>
              </w:rPr>
              <w:t>For the purposes of this Chapter, verification through requests and appearances is understood to mean the activities carried out by the Secretary and the Commission to supervise and monitor, within the scope of their respective powers, compliance with the Law, this regulation, Official Mexican Standards, and other legislation applicable to the hydrocarbon sector, by making requests for information, reports and access to databases, as well as summoning to appear at the location determined by the Secretary or the Commission.</w:t>
            </w:r>
          </w:p>
        </w:tc>
      </w:tr>
      <w:tr w:rsidR="009849AC" w:rsidRPr="009E69D6" w14:paraId="13DF1953" w14:textId="4AB2844E" w:rsidTr="00F867DE">
        <w:tc>
          <w:tcPr>
            <w:tcW w:w="4711" w:type="dxa"/>
          </w:tcPr>
          <w:p w14:paraId="28104977"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Las disposiciones previstas en el presente Capítulo solo son aplicables a las actividades que regula el Título Tercero de la Ley.</w:t>
            </w:r>
          </w:p>
        </w:tc>
        <w:tc>
          <w:tcPr>
            <w:tcW w:w="4649" w:type="dxa"/>
          </w:tcPr>
          <w:p w14:paraId="3D8A86CB" w14:textId="4861012C"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The provisions set forth in this Chapter are only applicable to the activities regulated by the Third Title of the Law.</w:t>
            </w:r>
          </w:p>
        </w:tc>
      </w:tr>
      <w:tr w:rsidR="009849AC" w:rsidRPr="009E69D6" w14:paraId="24C20E0B" w14:textId="0661E727" w:rsidTr="00F867DE">
        <w:tc>
          <w:tcPr>
            <w:tcW w:w="4711" w:type="dxa"/>
          </w:tcPr>
          <w:p w14:paraId="70DB3661"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Artículo 279.</w:t>
            </w:r>
            <w:r w:rsidRPr="00837D4A">
              <w:rPr>
                <w:rFonts w:ascii="Verdana" w:hAnsi="Verdana"/>
                <w:sz w:val="16"/>
                <w:szCs w:val="16"/>
              </w:rPr>
              <w:t xml:space="preserve"> Los requerimientos de información previstos en el presente Capítulo son independientes de otros requerimientos que realice la Secretaría o la Comisión en el ejercicio de sus atribuciones, mismos que no implican el inicio, substanciación y resolución de un procedimiento de verificación.</w:t>
            </w:r>
          </w:p>
        </w:tc>
        <w:tc>
          <w:tcPr>
            <w:tcW w:w="4649" w:type="dxa"/>
          </w:tcPr>
          <w:p w14:paraId="74ED68A1" w14:textId="08965B9A"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279. </w:t>
            </w:r>
            <w:r w:rsidRPr="00837D4A">
              <w:rPr>
                <w:rFonts w:ascii="Verdana" w:hAnsi="Verdana"/>
                <w:sz w:val="16"/>
                <w:szCs w:val="16"/>
                <w:lang w:val="en-US"/>
              </w:rPr>
              <w:t>The information requests provided for in this Chapter are independent of other requests made by the Secretary or the Commission in the exercise of their powers, and do not imply the initiation, substantiation, or resolution of a verification procedure.</w:t>
            </w:r>
          </w:p>
        </w:tc>
      </w:tr>
      <w:tr w:rsidR="009849AC" w:rsidRPr="009E69D6" w14:paraId="2474B8AA" w14:textId="52D3E1CC" w:rsidTr="00F867DE">
        <w:tc>
          <w:tcPr>
            <w:tcW w:w="4711" w:type="dxa"/>
          </w:tcPr>
          <w:p w14:paraId="43A17790"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Cuando se trate de un requerimiento tramitado conforme a las reglas y procedimiento previsto en este Capítulo, la Secretaría o la Comisión, según corresponda, deben emitir oficio en el que se señale de manera expresa que se trata del inicio de un procedimiento de verificación mediante requerimiento o comparecencia, tramitado conforme a lo previsto en este Capítulo, precisar el objeto, alcance y la modalidad en la que debe ser entregada la información, los informes, el acceso a bases de datos, así como el plazo para su atención, el cual no puede ser menor a cinco días hábiles ni mayor a quince días hábiles. Al tratarse de comparecencias se debe de indicar la fecha, hora y lugar de su celebración.</w:t>
            </w:r>
          </w:p>
        </w:tc>
        <w:tc>
          <w:tcPr>
            <w:tcW w:w="4649" w:type="dxa"/>
          </w:tcPr>
          <w:p w14:paraId="258A2BF3" w14:textId="6C38CF84"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In the case of a request processed in accordance with the rules and procedures set forth in this Chapter, the Secretary or the Commission, as appropriate, must issue a letter expressly stating that this is the initiation of a verification procedure by means of a request or appearance, processed in accordance with the provisions of this Chapter, specifying the purpose, scope, and method of delivering the information, reports, and access to databases, as well as the deadline for processing them, which may not be less than five business days or more than fifteen business days. In the case of appearances, the date, time, and place of the proceedings must be indicated.</w:t>
            </w:r>
          </w:p>
        </w:tc>
      </w:tr>
      <w:tr w:rsidR="009849AC" w:rsidRPr="009E69D6" w14:paraId="3857C6DD" w14:textId="40C4BEC7" w:rsidTr="00F867DE">
        <w:tc>
          <w:tcPr>
            <w:tcW w:w="4711" w:type="dxa"/>
          </w:tcPr>
          <w:p w14:paraId="2CDD1412"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Artículo 280.</w:t>
            </w:r>
            <w:r w:rsidRPr="00837D4A">
              <w:rPr>
                <w:rFonts w:ascii="Verdana" w:hAnsi="Verdana"/>
                <w:sz w:val="16"/>
                <w:szCs w:val="16"/>
              </w:rPr>
              <w:t xml:space="preserve"> Al desahogar los requerimientos que les sean formulados por la Secretaría o la Comisión, según corresponda, las personas requeridas deben manifestar bajo protesta de decir verdad, que la información proporcionada es verídica, que asumen las consecuencias legales, responsabilidades y penas que deriven del uso de información o documentación falsa.</w:t>
            </w:r>
          </w:p>
        </w:tc>
        <w:tc>
          <w:tcPr>
            <w:tcW w:w="4649" w:type="dxa"/>
          </w:tcPr>
          <w:p w14:paraId="56D7A64B" w14:textId="298713D7"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280. </w:t>
            </w:r>
            <w:r w:rsidRPr="00837D4A">
              <w:rPr>
                <w:rFonts w:ascii="Verdana" w:hAnsi="Verdana"/>
                <w:sz w:val="16"/>
                <w:szCs w:val="16"/>
                <w:lang w:val="en-US"/>
              </w:rPr>
              <w:t>When responding to requests made by the Secretary or the Commission, as appropriate, the requested persons must declare under oath that the information provided is true, and that they assume the legal consequences, responsibilities and penalties arising from the use of false information or documentation.</w:t>
            </w:r>
          </w:p>
        </w:tc>
      </w:tr>
      <w:tr w:rsidR="009849AC" w:rsidRPr="009E69D6" w14:paraId="100F3DEC" w14:textId="2A136875" w:rsidTr="00F867DE">
        <w:tc>
          <w:tcPr>
            <w:tcW w:w="4711" w:type="dxa"/>
          </w:tcPr>
          <w:p w14:paraId="1A74DB56"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 xml:space="preserve">En caso de comparecencias, al inicio de estas, las personas requeridas deben ser protestadas para que se </w:t>
            </w:r>
            <w:r w:rsidRPr="00837D4A">
              <w:rPr>
                <w:rFonts w:ascii="Verdana" w:hAnsi="Verdana"/>
                <w:sz w:val="16"/>
                <w:szCs w:val="16"/>
              </w:rPr>
              <w:lastRenderedPageBreak/>
              <w:t>conduzcan con verdad y se les debe hacer saber las penas a que se hacen acreedoras si se incurre en falsedad al ser interrogadas por una autoridad distinta a la judicial en ejercicio de sus funciones o con motivo de ellas.</w:t>
            </w:r>
          </w:p>
        </w:tc>
        <w:tc>
          <w:tcPr>
            <w:tcW w:w="4649" w:type="dxa"/>
          </w:tcPr>
          <w:p w14:paraId="459B28D8" w14:textId="04E0373F"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lastRenderedPageBreak/>
              <w:t xml:space="preserve">In the case of appearances, at the beginning of these, the requested persons must be warned to conduct </w:t>
            </w:r>
            <w:r w:rsidRPr="00837D4A">
              <w:rPr>
                <w:rFonts w:ascii="Verdana" w:hAnsi="Verdana"/>
                <w:sz w:val="16"/>
                <w:szCs w:val="16"/>
                <w:lang w:val="en-US"/>
              </w:rPr>
              <w:lastRenderedPageBreak/>
              <w:t>themselves truthfully and must be informed of the penalties they will face if they commit falsehood when questioned by an authority other than the judicial authority in the exercise of their functions or in connection with them.</w:t>
            </w:r>
          </w:p>
        </w:tc>
      </w:tr>
      <w:tr w:rsidR="009849AC" w:rsidRPr="009E69D6" w14:paraId="7FB19D06" w14:textId="6C7AC63A" w:rsidTr="00F867DE">
        <w:tc>
          <w:tcPr>
            <w:tcW w:w="4711" w:type="dxa"/>
          </w:tcPr>
          <w:p w14:paraId="33C74BBF"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lastRenderedPageBreak/>
              <w:t>Artículo 281.</w:t>
            </w:r>
            <w:r w:rsidRPr="00837D4A">
              <w:rPr>
                <w:rFonts w:ascii="Verdana" w:hAnsi="Verdana"/>
                <w:sz w:val="16"/>
                <w:szCs w:val="16"/>
              </w:rPr>
              <w:t xml:space="preserve"> En el caso de que, con motivo de la información proporcionada o las manifestaciones formuladas por las personas verificadas o que hayan sido citadas a comparecencia, se requieran mayores elementos para cumplir con el objeto de la verificación, la autoridad que conozca del asunto puede solicitar hasta por una ocasión más, la presentación de información adicional o una comparecencia complementaria. Lo anterior, dentro del plazo de quince días hábiles siguientes al de la presentación del escrito por el cual se da atención al desahogo del requerimiento o a la celebración de la comparecencia que corresponda.</w:t>
            </w:r>
          </w:p>
        </w:tc>
        <w:tc>
          <w:tcPr>
            <w:tcW w:w="4649" w:type="dxa"/>
          </w:tcPr>
          <w:p w14:paraId="3D137E28" w14:textId="28B41A6B"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281. </w:t>
            </w:r>
            <w:r w:rsidRPr="00837D4A">
              <w:rPr>
                <w:rFonts w:ascii="Verdana" w:hAnsi="Verdana"/>
                <w:sz w:val="16"/>
                <w:szCs w:val="16"/>
                <w:lang w:val="en-US"/>
              </w:rPr>
              <w:t>In the event that, based on the information provided or statements made by the persons being verified or summoned to appear, additional elements are required to fulfill the purpose of the verification, the authority hearing the matter may request, up to one additional occasion, the presentation of additional information or a supplementary appearance. This shall be done within fifteen business days following the filing of the written document addressing the request or the holding of the corresponding appearance.</w:t>
            </w:r>
          </w:p>
        </w:tc>
      </w:tr>
      <w:tr w:rsidR="009849AC" w:rsidRPr="009E69D6" w14:paraId="04CEDE2E" w14:textId="2FDB8B57" w:rsidTr="00F867DE">
        <w:tc>
          <w:tcPr>
            <w:tcW w:w="4711" w:type="dxa"/>
          </w:tcPr>
          <w:p w14:paraId="5BE1E9B0"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Artículo 282.</w:t>
            </w:r>
            <w:r w:rsidRPr="00837D4A">
              <w:rPr>
                <w:rFonts w:ascii="Verdana" w:hAnsi="Verdana"/>
                <w:sz w:val="16"/>
                <w:szCs w:val="16"/>
              </w:rPr>
              <w:t xml:space="preserve"> Dentro del plazo de cuarenta días hábiles siguientes contados a partir de la fecha en que haya fenecido el plazo para el desahogo del último requerimiento formulado, la Secretaría o la Comisión, según corresponda, debe emitir la resolución que concluya el procedimiento de verificación, en la cual se defina la situación jurídica de la persona verificada.</w:t>
            </w:r>
          </w:p>
        </w:tc>
        <w:tc>
          <w:tcPr>
            <w:tcW w:w="4649" w:type="dxa"/>
          </w:tcPr>
          <w:p w14:paraId="147D5509" w14:textId="2A7EE0DB"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282. </w:t>
            </w:r>
            <w:r w:rsidRPr="00837D4A">
              <w:rPr>
                <w:rFonts w:ascii="Verdana" w:hAnsi="Verdana"/>
                <w:sz w:val="16"/>
                <w:szCs w:val="16"/>
                <w:lang w:val="en-US"/>
              </w:rPr>
              <w:t>Within forty business days following the date on which the deadline for processing the last request has expired, the Secretary or the Commission, as appropriate, must issue the resolution concluding the verification procedure, in which the legal status of the person being verified is defined.</w:t>
            </w:r>
          </w:p>
        </w:tc>
      </w:tr>
      <w:tr w:rsidR="009849AC" w:rsidRPr="009E69D6" w14:paraId="7E0012FE" w14:textId="2733F83D" w:rsidTr="00F867DE">
        <w:tc>
          <w:tcPr>
            <w:tcW w:w="4711" w:type="dxa"/>
          </w:tcPr>
          <w:p w14:paraId="0F2E4B01"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En el caso de comparecencias, el plazo a que se refiere el párrafo anterior es contado a partir de la celebración de la comparecencia final, en el que la Secretaría o la Comisión, según corresponda, debe emitir la resolución que concluya el procedimiento de verificación, en la cual se defina la situación jurídica de la persona citada a comparecencia.</w:t>
            </w:r>
          </w:p>
        </w:tc>
        <w:tc>
          <w:tcPr>
            <w:tcW w:w="4649" w:type="dxa"/>
          </w:tcPr>
          <w:p w14:paraId="0FC6F7F5" w14:textId="6B0A7A1D"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In the case of appearances, the period referred to in the preceding paragraph is counted from the date of the final appearance, during which the Secretary or the Commission, as appropriate, must issue the resolution concluding the verification procedure, in which the legal status of the person summoned to appear is defined.</w:t>
            </w:r>
          </w:p>
        </w:tc>
      </w:tr>
      <w:tr w:rsidR="009849AC" w:rsidRPr="009E69D6" w14:paraId="78338535" w14:textId="5F232388" w:rsidTr="00F867DE">
        <w:tc>
          <w:tcPr>
            <w:tcW w:w="4711" w:type="dxa"/>
          </w:tcPr>
          <w:p w14:paraId="63E58BD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283.</w:t>
            </w:r>
            <w:r w:rsidRPr="00837D4A">
              <w:rPr>
                <w:rFonts w:ascii="Verdana" w:hAnsi="Verdana"/>
                <w:sz w:val="16"/>
                <w:szCs w:val="16"/>
              </w:rPr>
              <w:t xml:space="preserve"> La resolución a que se refiere el artículo anterior debe señalar los motivos y fundamentos que sustentan las obligaciones que se consideren posiblemente incumplidas, o bien, se debe determinar la inexistencia de posibles incumplimientos.</w:t>
            </w:r>
          </w:p>
        </w:tc>
        <w:tc>
          <w:tcPr>
            <w:tcW w:w="4649" w:type="dxa"/>
          </w:tcPr>
          <w:p w14:paraId="6216F4B7" w14:textId="4DAEFD2E"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283. </w:t>
            </w:r>
            <w:r w:rsidRPr="00837D4A">
              <w:rPr>
                <w:rFonts w:ascii="Verdana" w:hAnsi="Verdana"/>
                <w:sz w:val="16"/>
                <w:szCs w:val="16"/>
                <w:lang w:val="en-US"/>
              </w:rPr>
              <w:t>The resolution referred to in the preceding article must state the reasons and grounds that support the obligations that are considered possibly unfulfilled, or it must determine that there are no possible breaches.</w:t>
            </w:r>
          </w:p>
        </w:tc>
      </w:tr>
      <w:tr w:rsidR="009849AC" w:rsidRPr="009E69D6" w14:paraId="31C57898" w14:textId="25B7084B" w:rsidTr="00F867DE">
        <w:tc>
          <w:tcPr>
            <w:tcW w:w="4711" w:type="dxa"/>
          </w:tcPr>
          <w:p w14:paraId="6B8A3FFB" w14:textId="77777777" w:rsidR="009849AC" w:rsidRPr="00837D4A" w:rsidRDefault="009849AC" w:rsidP="009849AC">
            <w:pPr>
              <w:pStyle w:val="Texto"/>
              <w:spacing w:line="234" w:lineRule="exact"/>
              <w:ind w:firstLine="0"/>
              <w:rPr>
                <w:rFonts w:ascii="Verdana" w:hAnsi="Verdana"/>
                <w:sz w:val="16"/>
                <w:szCs w:val="16"/>
                <w:lang w:val="es"/>
              </w:rPr>
            </w:pPr>
            <w:r w:rsidRPr="00837D4A">
              <w:rPr>
                <w:rFonts w:ascii="Verdana" w:hAnsi="Verdana"/>
                <w:sz w:val="16"/>
                <w:szCs w:val="16"/>
              </w:rPr>
              <w:t xml:space="preserve">Si como resultado del procedimiento de verificación, la Secretaría o la Comisión detectan posibles incumplimientos, en la resolución que concluya el procedimiento de verificación pueden requerir a la persona verificada, para que </w:t>
            </w:r>
            <w:r w:rsidRPr="00837D4A">
              <w:rPr>
                <w:rFonts w:ascii="Verdana" w:hAnsi="Verdana"/>
                <w:sz w:val="16"/>
                <w:szCs w:val="16"/>
                <w:lang w:val="es"/>
              </w:rPr>
              <w:t>en un plazo máximo de veinte días hábiles contados a partir de la notificación del requerimiento, solvente los posibles incumplimientos detectados, solo en los supuestos en que las conductas u omisiones detectadas cumplan con los requisitos establecidos en el artículo 303, primer párrafo, de este reglamento, y no se ubiquen en los supuestos establecidos en las fracciones I, II, III o IV del indicado artículo.</w:t>
            </w:r>
          </w:p>
        </w:tc>
        <w:tc>
          <w:tcPr>
            <w:tcW w:w="4649" w:type="dxa"/>
          </w:tcPr>
          <w:p w14:paraId="79C5E9BA" w14:textId="4CDB3422"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If, as a result of the verification procedure, the Secretary or the Commission detects possible non-compliance, in the resolution concluding the verification procedure they may require the verified person, within a maximum period of twenty business days from the notification of the requirement, to resolve the possible non-compliance detected, only in cases where the conduct or omissions detected comply with the requirements established in article 303, first paragraph, of this regulation, and do not fall into the situations established in sections I, II, III or IV of the aforementioned article.</w:t>
            </w:r>
          </w:p>
        </w:tc>
      </w:tr>
      <w:tr w:rsidR="009849AC" w:rsidRPr="009E69D6" w14:paraId="25F44CD9" w14:textId="38A48586" w:rsidTr="00F867DE">
        <w:tc>
          <w:tcPr>
            <w:tcW w:w="4711" w:type="dxa"/>
          </w:tcPr>
          <w:p w14:paraId="7FB03528" w14:textId="77777777" w:rsidR="009849AC" w:rsidRPr="00837D4A" w:rsidRDefault="009849AC" w:rsidP="009849AC">
            <w:pPr>
              <w:pStyle w:val="Texto"/>
              <w:spacing w:line="234" w:lineRule="exact"/>
              <w:ind w:firstLine="0"/>
              <w:rPr>
                <w:rFonts w:ascii="Verdana" w:hAnsi="Verdana"/>
                <w:sz w:val="16"/>
                <w:szCs w:val="16"/>
                <w:lang w:val="es"/>
              </w:rPr>
            </w:pPr>
            <w:r w:rsidRPr="00837D4A">
              <w:rPr>
                <w:rFonts w:ascii="Verdana" w:hAnsi="Verdana"/>
                <w:sz w:val="16"/>
                <w:szCs w:val="16"/>
                <w:lang w:val="es"/>
              </w:rPr>
              <w:t xml:space="preserve">Dentro del plazo de cuarenta días hábiles siguientes a la conclusión del plazo otorgado a la persona </w:t>
            </w:r>
            <w:r w:rsidRPr="00837D4A">
              <w:rPr>
                <w:rFonts w:ascii="Verdana" w:hAnsi="Verdana"/>
                <w:sz w:val="16"/>
                <w:szCs w:val="16"/>
              </w:rPr>
              <w:t>verificada o citada a comparecencia,</w:t>
            </w:r>
            <w:r w:rsidRPr="00837D4A">
              <w:rPr>
                <w:rFonts w:ascii="Verdana" w:hAnsi="Verdana"/>
                <w:sz w:val="16"/>
                <w:szCs w:val="16"/>
                <w:lang w:val="es"/>
              </w:rPr>
              <w:t xml:space="preserve"> para que solvente los posibles </w:t>
            </w:r>
            <w:r w:rsidRPr="00837D4A">
              <w:rPr>
                <w:rFonts w:ascii="Verdana" w:hAnsi="Verdana"/>
                <w:sz w:val="16"/>
                <w:szCs w:val="16"/>
                <w:lang w:val="es"/>
              </w:rPr>
              <w:lastRenderedPageBreak/>
              <w:t>incumplimientos detectados, la Secretaría o la Comisión, según corresponda, deben emitir la resolución que tenga por solventada o desvirtuada la posible irregularidad administrativa detectada o bien la que inicie el procedimiento administrativo de sanción que corresponda.</w:t>
            </w:r>
          </w:p>
        </w:tc>
        <w:tc>
          <w:tcPr>
            <w:tcW w:w="4649" w:type="dxa"/>
          </w:tcPr>
          <w:p w14:paraId="1AA33063" w14:textId="15947580"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lastRenderedPageBreak/>
              <w:t xml:space="preserve">Within forty business days following the conclusion of the period granted to the person verified or summoned to appear, to resolve any potential non-compliance </w:t>
            </w:r>
            <w:r w:rsidRPr="00837D4A">
              <w:rPr>
                <w:rFonts w:ascii="Verdana" w:hAnsi="Verdana"/>
                <w:sz w:val="16"/>
                <w:szCs w:val="16"/>
                <w:lang w:val="en-US"/>
              </w:rPr>
              <w:lastRenderedPageBreak/>
              <w:t>detected, the Secretary or the Commission, as appropriate, must issue a resolution that resolves or refutes the potential administrative irregularity detected or initiates the corresponding administrative sanction procedure.</w:t>
            </w:r>
          </w:p>
        </w:tc>
      </w:tr>
      <w:tr w:rsidR="009849AC" w:rsidRPr="009E69D6" w14:paraId="11148618" w14:textId="0183FD1E" w:rsidTr="00F867DE">
        <w:tc>
          <w:tcPr>
            <w:tcW w:w="4711" w:type="dxa"/>
          </w:tcPr>
          <w:p w14:paraId="2834EA7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lastRenderedPageBreak/>
              <w:t xml:space="preserve">En caso de que los posibles incumplimientos detectados no </w:t>
            </w:r>
            <w:r w:rsidRPr="00837D4A">
              <w:rPr>
                <w:rFonts w:ascii="Verdana" w:hAnsi="Verdana"/>
                <w:sz w:val="16"/>
                <w:szCs w:val="16"/>
                <w:lang w:val="es"/>
              </w:rPr>
              <w:t>cumplan con los requisitos establecidos en el artículo 303, primer párrafo, de este reglamento, o</w:t>
            </w:r>
            <w:r w:rsidRPr="00837D4A">
              <w:rPr>
                <w:rFonts w:ascii="Verdana" w:hAnsi="Verdana"/>
                <w:sz w:val="16"/>
                <w:szCs w:val="16"/>
              </w:rPr>
              <w:t xml:space="preserve"> se ubiquen en alguno de los supuestos previstos en las fracciones I, II, III o IV del citado artículo de este reglamento, la Secretaría o la Comisión, según corresponda, deben dictar, en un plazo no mayor a cuarenta días hábiles contados a partir de la emisión de la resolución que concluya el procedimiento de verificación, el inicio del procedimiento administrativo de sanción que corresponda.</w:t>
            </w:r>
          </w:p>
        </w:tc>
        <w:tc>
          <w:tcPr>
            <w:tcW w:w="4649" w:type="dxa"/>
          </w:tcPr>
          <w:p w14:paraId="3F920F63" w14:textId="08713EBF"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In the event that the possible non-compliances detected do not comply with the requirements established in article 303, first paragraph, of this regulation, or are located in any of the cases provided for in sections I, II, III or IV of the aforementioned article of this regulation, the Secretary or the Commission, as appropriate, must dictate, within a period of no more than forty business days from the issuance of the resolution concluding the verification procedure, the initiation of the corresponding administrative sanction procedure.</w:t>
            </w:r>
          </w:p>
        </w:tc>
      </w:tr>
      <w:tr w:rsidR="009849AC" w:rsidRPr="00D0180E" w14:paraId="666CD529" w14:textId="6165183D" w:rsidTr="00F867DE">
        <w:tc>
          <w:tcPr>
            <w:tcW w:w="4711" w:type="dxa"/>
          </w:tcPr>
          <w:p w14:paraId="5B690189" w14:textId="77777777" w:rsidR="009849AC" w:rsidRPr="00837D4A" w:rsidRDefault="009849AC" w:rsidP="009849AC">
            <w:pPr>
              <w:pStyle w:val="Texto"/>
              <w:spacing w:line="234" w:lineRule="exact"/>
              <w:ind w:firstLine="0"/>
              <w:jc w:val="center"/>
              <w:rPr>
                <w:rFonts w:ascii="Verdana" w:hAnsi="Verdana"/>
                <w:sz w:val="16"/>
                <w:szCs w:val="16"/>
              </w:rPr>
            </w:pPr>
            <w:r w:rsidRPr="00837D4A">
              <w:rPr>
                <w:rFonts w:ascii="Verdana" w:hAnsi="Verdana"/>
                <w:b/>
                <w:sz w:val="16"/>
                <w:szCs w:val="16"/>
              </w:rPr>
              <w:t>Capítulo IV</w:t>
            </w:r>
          </w:p>
        </w:tc>
        <w:tc>
          <w:tcPr>
            <w:tcW w:w="4649" w:type="dxa"/>
          </w:tcPr>
          <w:p w14:paraId="7E5FC834" w14:textId="7FD9DE1B" w:rsidR="009849AC" w:rsidRPr="00837D4A" w:rsidRDefault="009849AC" w:rsidP="009849AC">
            <w:pPr>
              <w:pStyle w:val="Texto"/>
              <w:spacing w:line="234"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IV</w:t>
            </w:r>
          </w:p>
        </w:tc>
      </w:tr>
      <w:tr w:rsidR="009849AC" w:rsidRPr="009E69D6" w14:paraId="751DE272" w14:textId="3B90703F" w:rsidTr="00F867DE">
        <w:tc>
          <w:tcPr>
            <w:tcW w:w="4711" w:type="dxa"/>
          </w:tcPr>
          <w:p w14:paraId="783A716A" w14:textId="77777777" w:rsidR="009849AC" w:rsidRPr="00837D4A" w:rsidRDefault="009849AC" w:rsidP="009849AC">
            <w:pPr>
              <w:pStyle w:val="Texto"/>
              <w:spacing w:line="234" w:lineRule="exact"/>
              <w:ind w:firstLine="0"/>
              <w:jc w:val="center"/>
              <w:rPr>
                <w:rFonts w:ascii="Verdana" w:hAnsi="Verdana"/>
                <w:sz w:val="16"/>
                <w:szCs w:val="16"/>
              </w:rPr>
            </w:pPr>
            <w:r w:rsidRPr="00837D4A">
              <w:rPr>
                <w:rFonts w:ascii="Verdana" w:hAnsi="Verdana"/>
                <w:b/>
                <w:sz w:val="16"/>
                <w:szCs w:val="16"/>
              </w:rPr>
              <w:t>De las Medidas Cautelares y Precautorias</w:t>
            </w:r>
          </w:p>
        </w:tc>
        <w:tc>
          <w:tcPr>
            <w:tcW w:w="4649" w:type="dxa"/>
          </w:tcPr>
          <w:p w14:paraId="2F2EF662" w14:textId="3A7874B8" w:rsidR="009849AC" w:rsidRPr="00837D4A" w:rsidRDefault="009849AC" w:rsidP="009849AC">
            <w:pPr>
              <w:pStyle w:val="Texto"/>
              <w:spacing w:line="234" w:lineRule="exact"/>
              <w:ind w:firstLine="0"/>
              <w:jc w:val="center"/>
              <w:rPr>
                <w:rFonts w:ascii="Verdana" w:hAnsi="Verdana"/>
                <w:b/>
                <w:sz w:val="16"/>
                <w:szCs w:val="16"/>
                <w:lang w:val="en-US"/>
              </w:rPr>
            </w:pPr>
            <w:r w:rsidRPr="00837D4A">
              <w:rPr>
                <w:rFonts w:ascii="Verdana" w:hAnsi="Verdana"/>
                <w:b/>
                <w:sz w:val="16"/>
                <w:szCs w:val="16"/>
                <w:lang w:val="en-US"/>
              </w:rPr>
              <w:t>Precautionary and Cautionary Measures</w:t>
            </w:r>
          </w:p>
        </w:tc>
      </w:tr>
      <w:tr w:rsidR="009849AC" w:rsidRPr="009E69D6" w14:paraId="0C6FA9F2" w14:textId="37AECABE" w:rsidTr="00F867DE">
        <w:tc>
          <w:tcPr>
            <w:tcW w:w="4711" w:type="dxa"/>
          </w:tcPr>
          <w:p w14:paraId="168521D5"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284.</w:t>
            </w:r>
            <w:r w:rsidRPr="00837D4A">
              <w:rPr>
                <w:rFonts w:ascii="Verdana" w:hAnsi="Verdana"/>
                <w:sz w:val="16"/>
                <w:szCs w:val="16"/>
              </w:rPr>
              <w:t xml:space="preserve"> La Secretaría o la Comisión, según corresponda, con base en los resultados de la visita de verificación o del informe de la misma, o bien, con base en los resultados del procedimiento de verificación mediante requerimientos y comparecencias, o de requerimientos de información, pueden imponer de manera fundada y motivada la suspensión provisional de la actividad permisionada, cuando se presente alguno de los supuestos establecidos en el artículo 79 de la Ley.</w:t>
            </w:r>
          </w:p>
        </w:tc>
        <w:tc>
          <w:tcPr>
            <w:tcW w:w="4649" w:type="dxa"/>
          </w:tcPr>
          <w:p w14:paraId="47A4BD41" w14:textId="1854703D"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284. </w:t>
            </w:r>
            <w:r w:rsidRPr="00837D4A">
              <w:rPr>
                <w:rFonts w:ascii="Verdana" w:hAnsi="Verdana"/>
                <w:sz w:val="16"/>
                <w:szCs w:val="16"/>
                <w:lang w:val="en-US"/>
              </w:rPr>
              <w:t>The Secretary or the Commission, as appropriate, based on the results of the verification visit or its report, or based on the results of the verification procedure through requests and appearances, or requests for information, may impose, in a reasoned and motivated manner, the provisional suspension of the permitted activity, when any of the assumptions established in Article 79 of the Law are present.</w:t>
            </w:r>
          </w:p>
        </w:tc>
      </w:tr>
      <w:tr w:rsidR="009849AC" w:rsidRPr="009E69D6" w14:paraId="0AA15E45" w14:textId="15FD457A" w:rsidTr="00F867DE">
        <w:tc>
          <w:tcPr>
            <w:tcW w:w="4711" w:type="dxa"/>
          </w:tcPr>
          <w:p w14:paraId="32D759EB"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Para efectos del presente reglamento, la suspensión provisional es la medida cautelar o precautoria dictada por la autoridad competente que se impone de manera inmediata en ejercicio de las facultades de supervisión y verificación.</w:t>
            </w:r>
          </w:p>
        </w:tc>
        <w:tc>
          <w:tcPr>
            <w:tcW w:w="4649" w:type="dxa"/>
          </w:tcPr>
          <w:p w14:paraId="305F0B26" w14:textId="5B7D986A"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For the purposes of this Regulation, provisional suspension is the cautionary or precautionary measure issued by the appropriate authority that is imposed immediately in the exercise of its supervisory and verification powers.</w:t>
            </w:r>
          </w:p>
        </w:tc>
      </w:tr>
      <w:tr w:rsidR="009849AC" w:rsidRPr="009E69D6" w14:paraId="7E25D2DC" w14:textId="493B82A0" w:rsidTr="00F867DE">
        <w:tc>
          <w:tcPr>
            <w:tcW w:w="4711" w:type="dxa"/>
          </w:tcPr>
          <w:p w14:paraId="6BAA44FF"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285.</w:t>
            </w:r>
            <w:r w:rsidRPr="00837D4A">
              <w:rPr>
                <w:rFonts w:ascii="Verdana" w:hAnsi="Verdana"/>
                <w:sz w:val="16"/>
                <w:szCs w:val="16"/>
              </w:rPr>
              <w:t xml:space="preserve"> La medida cautelar o precautoria se puede imponer durante la ejecución de la visita de verificación por medio de las personas verificadoras facultadas por la autoridad competente para tal efecto.</w:t>
            </w:r>
          </w:p>
        </w:tc>
        <w:tc>
          <w:tcPr>
            <w:tcW w:w="4649" w:type="dxa"/>
          </w:tcPr>
          <w:p w14:paraId="0B0F1B74" w14:textId="7C4CEEF3"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285. </w:t>
            </w:r>
            <w:r w:rsidRPr="00837D4A">
              <w:rPr>
                <w:rFonts w:ascii="Verdana" w:hAnsi="Verdana"/>
                <w:sz w:val="16"/>
                <w:szCs w:val="16"/>
                <w:lang w:val="en-US"/>
              </w:rPr>
              <w:t>The cautionary or precautionary measure may be imposed during the execution of the verification visit by the verifying persons authorized by the appropriate authority for such purpose.</w:t>
            </w:r>
          </w:p>
        </w:tc>
      </w:tr>
      <w:tr w:rsidR="009849AC" w:rsidRPr="009E69D6" w14:paraId="71622D9D" w14:textId="5D9CF71F" w:rsidTr="00F867DE">
        <w:tc>
          <w:tcPr>
            <w:tcW w:w="4711" w:type="dxa"/>
          </w:tcPr>
          <w:p w14:paraId="0C17353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Previo a la imposición de la medida cautelar o precautoria se debe solicitar a la persona visitada que realice el paro seguro de las instalaciones, con la finalidad de minimizar los riesgos inherentes de las actividades que se llevan a cabo y realizar las maniobras operativas para limitar la recepción o descarga de Hidrocarburos, Petrolíferos o Petroquímicos, cuando aplique, y posteriormente se procede a su ejecución.</w:t>
            </w:r>
          </w:p>
        </w:tc>
        <w:tc>
          <w:tcPr>
            <w:tcW w:w="4649" w:type="dxa"/>
          </w:tcPr>
          <w:p w14:paraId="69C15320" w14:textId="17756597"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Prior to imposing the cautionary or precautionary measure, the person being visited must be asked to safely shut down the facilities, in order to minimize the risks inherent in the activities being carried out and to carry out operational maneuvers to limit the reception or discharge of hydrocarbons, petroleum products, or petrochemicals, where applicable, and then proceed with their execution.</w:t>
            </w:r>
          </w:p>
        </w:tc>
      </w:tr>
      <w:tr w:rsidR="009849AC" w:rsidRPr="009E69D6" w14:paraId="75AB0D63" w14:textId="389EDDEC" w:rsidTr="00F867DE">
        <w:tc>
          <w:tcPr>
            <w:tcW w:w="4711" w:type="dxa"/>
          </w:tcPr>
          <w:p w14:paraId="5E7CD2A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286.</w:t>
            </w:r>
            <w:r w:rsidRPr="00837D4A">
              <w:rPr>
                <w:rFonts w:ascii="Verdana" w:hAnsi="Verdana"/>
                <w:sz w:val="16"/>
                <w:szCs w:val="16"/>
              </w:rPr>
              <w:t xml:space="preserve"> En el caso de que la medida cautelar o precautoria se imponga derivado de requerimientos de información, procedimientos de verificación mediante requerimientos y comparecencias o bien, una vez concluida la visita de verificación, únicamente puede ser </w:t>
            </w:r>
            <w:r w:rsidRPr="00837D4A">
              <w:rPr>
                <w:rFonts w:ascii="Verdana" w:hAnsi="Verdana"/>
                <w:sz w:val="16"/>
                <w:szCs w:val="16"/>
              </w:rPr>
              <w:lastRenderedPageBreak/>
              <w:t>ordenada e impuesta por la Secretaría o la Comisión mediante acuerdo, debidamente fundado y motivado.</w:t>
            </w:r>
          </w:p>
        </w:tc>
        <w:tc>
          <w:tcPr>
            <w:tcW w:w="4649" w:type="dxa"/>
          </w:tcPr>
          <w:p w14:paraId="41B484C5" w14:textId="68288FEF"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286. </w:t>
            </w:r>
            <w:r w:rsidRPr="00837D4A">
              <w:rPr>
                <w:rFonts w:ascii="Verdana" w:hAnsi="Verdana"/>
                <w:sz w:val="16"/>
                <w:szCs w:val="16"/>
                <w:lang w:val="en-US"/>
              </w:rPr>
              <w:t xml:space="preserve">In the event that the cautionary or precautionary measure is imposed as a result of requests for information, verification procedures through requests and appearances, or once the verification visit has been concluded, it may only be ordered and imposed by the Secretary or the </w:t>
            </w:r>
            <w:r w:rsidRPr="00837D4A">
              <w:rPr>
                <w:rFonts w:ascii="Verdana" w:hAnsi="Verdana"/>
                <w:sz w:val="16"/>
                <w:szCs w:val="16"/>
                <w:lang w:val="en-US"/>
              </w:rPr>
              <w:lastRenderedPageBreak/>
              <w:t>Commission through a duly substantiated and reasoned agreement.</w:t>
            </w:r>
          </w:p>
        </w:tc>
      </w:tr>
      <w:tr w:rsidR="009849AC" w:rsidRPr="009E69D6" w14:paraId="73AC6405" w14:textId="455651D5" w:rsidTr="00F867DE">
        <w:tc>
          <w:tcPr>
            <w:tcW w:w="4711" w:type="dxa"/>
          </w:tcPr>
          <w:p w14:paraId="3E2D874D"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lastRenderedPageBreak/>
              <w:t xml:space="preserve">Artículo 287. </w:t>
            </w:r>
            <w:r w:rsidRPr="00837D4A">
              <w:rPr>
                <w:rFonts w:ascii="Verdana" w:hAnsi="Verdana"/>
                <w:sz w:val="16"/>
                <w:szCs w:val="16"/>
              </w:rPr>
              <w:t>En los casos en que la medida cautelar o precautoria haya sido ordenada e impuesta mediante acuerdo, la Secretaría o la Comisión debe ordenar su ejecución en un acta circunstanciada.</w:t>
            </w:r>
          </w:p>
        </w:tc>
        <w:tc>
          <w:tcPr>
            <w:tcW w:w="4649" w:type="dxa"/>
          </w:tcPr>
          <w:p w14:paraId="1B8E312C" w14:textId="0361127C"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287. </w:t>
            </w:r>
            <w:r w:rsidRPr="00837D4A">
              <w:rPr>
                <w:rFonts w:ascii="Verdana" w:hAnsi="Verdana"/>
                <w:sz w:val="16"/>
                <w:szCs w:val="16"/>
                <w:lang w:val="en-US"/>
              </w:rPr>
              <w:t>In cases where the cautionary or precautionary measure has been ordered and imposed by agreement, the Secretary or the Commission must order its execution in a detailed report.</w:t>
            </w:r>
          </w:p>
        </w:tc>
      </w:tr>
      <w:tr w:rsidR="009849AC" w:rsidRPr="009E69D6" w14:paraId="2B9B8E15" w14:textId="390121D4" w:rsidTr="00F867DE">
        <w:tc>
          <w:tcPr>
            <w:tcW w:w="4711" w:type="dxa"/>
          </w:tcPr>
          <w:p w14:paraId="378605DC"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b/>
                <w:sz w:val="16"/>
                <w:szCs w:val="16"/>
              </w:rPr>
              <w:t>Artículo 288.</w:t>
            </w:r>
            <w:r w:rsidRPr="00837D4A">
              <w:rPr>
                <w:rFonts w:ascii="Verdana" w:hAnsi="Verdana"/>
                <w:sz w:val="16"/>
                <w:szCs w:val="16"/>
              </w:rPr>
              <w:t xml:space="preserve"> La imposición de la medida cautelar o precautoria se debe ejecutar a través de la colocación de los sellos correspondientes, los cuales deben estar dotados del logotipo de la autoridad competente, con el fundamento legal correspondiente y la leyenda en donde se determine que su quebrantamiento constituye un delito en términos de la Normatividad aplicable, número de folio del sello correspondiente y la leyenda que indique “Suspensión Provisional”.</w:t>
            </w:r>
          </w:p>
        </w:tc>
        <w:tc>
          <w:tcPr>
            <w:tcW w:w="4649" w:type="dxa"/>
          </w:tcPr>
          <w:p w14:paraId="7B7B885F" w14:textId="70D718CB" w:rsidR="009849AC" w:rsidRPr="00837D4A" w:rsidRDefault="009849AC" w:rsidP="009849AC">
            <w:pPr>
              <w:pStyle w:val="Texto"/>
              <w:spacing w:line="234" w:lineRule="exact"/>
              <w:ind w:firstLine="0"/>
              <w:rPr>
                <w:rFonts w:ascii="Verdana" w:hAnsi="Verdana"/>
                <w:b/>
                <w:sz w:val="16"/>
                <w:szCs w:val="16"/>
                <w:lang w:val="en-US"/>
              </w:rPr>
            </w:pPr>
            <w:r w:rsidRPr="00837D4A">
              <w:rPr>
                <w:rFonts w:ascii="Verdana" w:hAnsi="Verdana"/>
                <w:b/>
                <w:sz w:val="16"/>
                <w:szCs w:val="16"/>
                <w:lang w:val="en-US"/>
              </w:rPr>
              <w:t xml:space="preserve">Article 288. </w:t>
            </w:r>
            <w:r w:rsidRPr="00837D4A">
              <w:rPr>
                <w:rFonts w:ascii="Verdana" w:hAnsi="Verdana"/>
                <w:sz w:val="16"/>
                <w:szCs w:val="16"/>
                <w:lang w:val="en-US"/>
              </w:rPr>
              <w:t>The imposition of the cautionary or precautionary measure must be carried out through the affixing of the corresponding seals, which must be provided with the logo of the appropriate authority, with the corresponding legal basis and the legend where it is determined that its violation constitutes a crime in terms of the applicable legislation, folio number of the corresponding seal and the legend indicating "Provisional Suspension."</w:t>
            </w:r>
          </w:p>
        </w:tc>
      </w:tr>
      <w:tr w:rsidR="009849AC" w:rsidRPr="009E69D6" w14:paraId="54C42528" w14:textId="4D2B93DB" w:rsidTr="00F867DE">
        <w:tc>
          <w:tcPr>
            <w:tcW w:w="4711" w:type="dxa"/>
          </w:tcPr>
          <w:p w14:paraId="09A68836"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En caso de que la medida precautoria no pueda ser ejecutada conforme a lo señalado en el párrafo precedente, las personas verificadoras deben dejar constancia de dicha circunstancia en el acta correspondiente.</w:t>
            </w:r>
          </w:p>
        </w:tc>
        <w:tc>
          <w:tcPr>
            <w:tcW w:w="4649" w:type="dxa"/>
          </w:tcPr>
          <w:p w14:paraId="1BD40F67" w14:textId="15DF2CFA"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If the precautionary measure cannot be executed as indicated in the preceding paragraph, the verifiers must record this circumstance in the corresponding report.</w:t>
            </w:r>
          </w:p>
        </w:tc>
      </w:tr>
      <w:tr w:rsidR="009849AC" w:rsidRPr="009E69D6" w14:paraId="3558730E" w14:textId="315FA9E7" w:rsidTr="00F867DE">
        <w:tc>
          <w:tcPr>
            <w:tcW w:w="4711" w:type="dxa"/>
          </w:tcPr>
          <w:p w14:paraId="03D24973" w14:textId="77777777" w:rsidR="009849AC" w:rsidRPr="00837D4A" w:rsidRDefault="009849AC" w:rsidP="009849AC">
            <w:pPr>
              <w:pStyle w:val="Texto"/>
              <w:spacing w:line="234" w:lineRule="exact"/>
              <w:ind w:firstLine="0"/>
              <w:rPr>
                <w:rFonts w:ascii="Verdana" w:hAnsi="Verdana"/>
                <w:sz w:val="16"/>
                <w:szCs w:val="16"/>
              </w:rPr>
            </w:pPr>
            <w:r w:rsidRPr="00837D4A">
              <w:rPr>
                <w:rFonts w:ascii="Verdana" w:hAnsi="Verdana"/>
                <w:sz w:val="16"/>
                <w:szCs w:val="16"/>
              </w:rPr>
              <w:t>No obstante, la medida se considera impuesta y debe ser acatada en los términos establecidos.</w:t>
            </w:r>
          </w:p>
        </w:tc>
        <w:tc>
          <w:tcPr>
            <w:tcW w:w="4649" w:type="dxa"/>
          </w:tcPr>
          <w:p w14:paraId="3E05C155" w14:textId="2DCD276C" w:rsidR="009849AC" w:rsidRPr="00837D4A" w:rsidRDefault="009849AC" w:rsidP="009849AC">
            <w:pPr>
              <w:pStyle w:val="Texto"/>
              <w:spacing w:line="234" w:lineRule="exact"/>
              <w:ind w:firstLine="0"/>
              <w:rPr>
                <w:rFonts w:ascii="Verdana" w:hAnsi="Verdana"/>
                <w:sz w:val="16"/>
                <w:szCs w:val="16"/>
                <w:lang w:val="en-US"/>
              </w:rPr>
            </w:pPr>
            <w:r w:rsidRPr="00837D4A">
              <w:rPr>
                <w:rFonts w:ascii="Verdana" w:hAnsi="Verdana"/>
                <w:sz w:val="16"/>
                <w:szCs w:val="16"/>
                <w:lang w:val="en-US"/>
              </w:rPr>
              <w:t>However, the measure is considered imposed and must be complied with within the established terms.</w:t>
            </w:r>
          </w:p>
        </w:tc>
      </w:tr>
      <w:tr w:rsidR="009849AC" w:rsidRPr="009E69D6" w14:paraId="233432A9" w14:textId="7DD6BF7A" w:rsidTr="00F867DE">
        <w:tc>
          <w:tcPr>
            <w:tcW w:w="4711" w:type="dxa"/>
          </w:tcPr>
          <w:p w14:paraId="1D42B55B"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289.</w:t>
            </w:r>
            <w:r w:rsidRPr="00837D4A">
              <w:rPr>
                <w:rFonts w:ascii="Verdana" w:hAnsi="Verdana"/>
                <w:sz w:val="16"/>
                <w:szCs w:val="16"/>
              </w:rPr>
              <w:t xml:space="preserve"> Las personas Permisionarias que realicen actividades de Comercialización no están exentas de la imposición de las medidas cautelares o precautorias previstas en el presente Capítulo, aun cuando, por la naturaleza de dichas actividades, debe determinarse la procedencia de la suspensión provisional, en la medida que no afecte el adecuado suministro de Hidrocarburos, Petrolíferos o Petroquímicos en el territorio nacional. Para ello, se sigue el mismo procedimiento de imposición y levantamiento de medidas cautelares previsto en este Capítulo, en lo que resulte aplicable.</w:t>
            </w:r>
          </w:p>
        </w:tc>
        <w:tc>
          <w:tcPr>
            <w:tcW w:w="4649" w:type="dxa"/>
          </w:tcPr>
          <w:p w14:paraId="327CB736" w14:textId="326E2158"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289. </w:t>
            </w:r>
            <w:r w:rsidRPr="00837D4A">
              <w:rPr>
                <w:rFonts w:ascii="Verdana" w:hAnsi="Verdana"/>
                <w:sz w:val="16"/>
                <w:szCs w:val="16"/>
                <w:lang w:val="en-US"/>
              </w:rPr>
              <w:t>Permit holders who carry out marketing activities are not exempt from the imposition of the precautionary or interim measures provided for in this Chapter, even though, due to the nature of such activities, the appropriateness of the provisional suspension must be determined, provided that it does not affect the adequate supply of hydrocarbons, petroleum products, or petrochemicals in the national territory. For this purpose, the same procedure for the imposition and lifting of precautionary measures provided for in this Chapter shall be followed, where applicable.</w:t>
            </w:r>
          </w:p>
        </w:tc>
      </w:tr>
      <w:tr w:rsidR="009849AC" w:rsidRPr="009E69D6" w14:paraId="1AE3E8DD" w14:textId="758D7140" w:rsidTr="00F867DE">
        <w:tc>
          <w:tcPr>
            <w:tcW w:w="4711" w:type="dxa"/>
          </w:tcPr>
          <w:p w14:paraId="248845A1"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290.</w:t>
            </w:r>
            <w:r w:rsidRPr="00837D4A">
              <w:rPr>
                <w:rFonts w:ascii="Verdana" w:hAnsi="Verdana"/>
                <w:sz w:val="16"/>
                <w:szCs w:val="16"/>
              </w:rPr>
              <w:t xml:space="preserve"> Una vez impuesta la medida cautelar o precautoria, se debe hacer del conocimiento que bajo ningún motivo o circunstancia se puede continuar con la realización de las actividades reguladas por la Ley, el presente reglamento y la Normatividad aplicable, hasta en tanto no se desvirtúen o subsanen las causas que originaron la imposición de la medida y la autoridad competente emita resolución mediante la cual se ordene el levantamiento de la medida impuesta.</w:t>
            </w:r>
          </w:p>
        </w:tc>
        <w:tc>
          <w:tcPr>
            <w:tcW w:w="4649" w:type="dxa"/>
          </w:tcPr>
          <w:p w14:paraId="4E3E8DE6" w14:textId="56770F76"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290. </w:t>
            </w:r>
            <w:r w:rsidRPr="00837D4A">
              <w:rPr>
                <w:rFonts w:ascii="Verdana" w:hAnsi="Verdana"/>
                <w:sz w:val="16"/>
                <w:szCs w:val="16"/>
                <w:lang w:val="en-US"/>
              </w:rPr>
              <w:t>Once the cautionary or precautionary measure has been imposed, it must be made known that under no reason or circumstance may the activities regulated by the Law, this Regulation and the applicable legislation continue to be carried out until the causes that led to the imposition of the measure are refuted or corrected and the appropriate authority issues a resolution ordering the lifting of the imposed measure.</w:t>
            </w:r>
          </w:p>
        </w:tc>
      </w:tr>
      <w:tr w:rsidR="009849AC" w:rsidRPr="009E69D6" w14:paraId="4064301F" w14:textId="50D68EE4" w:rsidTr="00F867DE">
        <w:tc>
          <w:tcPr>
            <w:tcW w:w="4711" w:type="dxa"/>
          </w:tcPr>
          <w:p w14:paraId="346922AE"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291.</w:t>
            </w:r>
            <w:r w:rsidRPr="00837D4A">
              <w:rPr>
                <w:rFonts w:ascii="Verdana" w:hAnsi="Verdana"/>
                <w:sz w:val="16"/>
                <w:szCs w:val="16"/>
              </w:rPr>
              <w:t xml:space="preserve"> Cuando se presenten los supuestos señalados en el artículo 79, incisos a) y d) de la Ley, la Secretaría o la Comisión, según corresponda, deben hacer del conocimiento de la </w:t>
            </w:r>
            <w:bookmarkStart w:id="10" w:name="N_Int_kxLl4HJ5"/>
            <w:r w:rsidRPr="00837D4A">
              <w:rPr>
                <w:rFonts w:ascii="Verdana" w:hAnsi="Verdana"/>
                <w:sz w:val="16"/>
                <w:szCs w:val="16"/>
              </w:rPr>
              <w:t>Fiscalía General</w:t>
            </w:r>
            <w:bookmarkEnd w:id="10"/>
            <w:r w:rsidRPr="00837D4A">
              <w:rPr>
                <w:rFonts w:ascii="Verdana" w:hAnsi="Verdana"/>
                <w:sz w:val="16"/>
                <w:szCs w:val="16"/>
              </w:rPr>
              <w:t xml:space="preserve"> de la República los hechos advertidos, para que, en el ámbito de sus atribuciones, realice las acciones que estime conducentes.</w:t>
            </w:r>
          </w:p>
        </w:tc>
        <w:tc>
          <w:tcPr>
            <w:tcW w:w="4649" w:type="dxa"/>
          </w:tcPr>
          <w:p w14:paraId="52348E9A" w14:textId="3F5ABF3B"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291. </w:t>
            </w:r>
            <w:r w:rsidRPr="00837D4A">
              <w:rPr>
                <w:rFonts w:ascii="Verdana" w:hAnsi="Verdana"/>
                <w:sz w:val="16"/>
                <w:szCs w:val="16"/>
                <w:lang w:val="en-US"/>
              </w:rPr>
              <w:t>When the assumptions indicated in article 79, paragraphs a) and d) of the Law arise, the Secretary or the Commission, as appropriate, must inform the General Prosecutor of the Republic of the Republic of the facts observed, so that, within the scope of its powers, it may take the actions it deems appropriate.</w:t>
            </w:r>
          </w:p>
        </w:tc>
      </w:tr>
      <w:tr w:rsidR="009849AC" w:rsidRPr="009E69D6" w14:paraId="608D5C89" w14:textId="454F989D" w:rsidTr="00F867DE">
        <w:tc>
          <w:tcPr>
            <w:tcW w:w="4711" w:type="dxa"/>
          </w:tcPr>
          <w:p w14:paraId="5E96F6F7"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Lo anterior, sin perjuicio de las demás actividades presuntamente ilícitas que se adviertan y deban hacerse del conocimiento de la Fiscalía General de la República.</w:t>
            </w:r>
          </w:p>
        </w:tc>
        <w:tc>
          <w:tcPr>
            <w:tcW w:w="4649" w:type="dxa"/>
          </w:tcPr>
          <w:p w14:paraId="199EA3BE" w14:textId="3310CC57"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The foregoing is without prejudice to any other allegedly illegal activities that may be observed and should be brought to the attention of the General Prosecutor of the Republic.</w:t>
            </w:r>
          </w:p>
        </w:tc>
      </w:tr>
      <w:tr w:rsidR="009849AC" w:rsidRPr="009E69D6" w14:paraId="3EA71C66" w14:textId="75FC684B" w:rsidTr="00F867DE">
        <w:tc>
          <w:tcPr>
            <w:tcW w:w="4711" w:type="dxa"/>
          </w:tcPr>
          <w:p w14:paraId="2A23E8CF"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lastRenderedPageBreak/>
              <w:t>Artículo 292.</w:t>
            </w:r>
            <w:r w:rsidRPr="00837D4A">
              <w:rPr>
                <w:rFonts w:ascii="Verdana" w:hAnsi="Verdana"/>
                <w:sz w:val="16"/>
                <w:szCs w:val="16"/>
              </w:rPr>
              <w:t xml:space="preserve"> En los actos en que se imponga la medida precautoria a que se refiere el presente Capítulo, se debe señalar de manera expresa lo siguiente:</w:t>
            </w:r>
          </w:p>
        </w:tc>
        <w:tc>
          <w:tcPr>
            <w:tcW w:w="4649" w:type="dxa"/>
          </w:tcPr>
          <w:p w14:paraId="6F39EEE4" w14:textId="7E0E24F5"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292. </w:t>
            </w:r>
            <w:r w:rsidRPr="00837D4A">
              <w:rPr>
                <w:rFonts w:ascii="Verdana" w:hAnsi="Verdana"/>
                <w:sz w:val="16"/>
                <w:szCs w:val="16"/>
                <w:lang w:val="en-US"/>
              </w:rPr>
              <w:t>In the acts in which the precautionary measure referred to in this Chapter is imposed, the following must be expressly stated:</w:t>
            </w:r>
          </w:p>
        </w:tc>
      </w:tr>
      <w:tr w:rsidR="009849AC" w:rsidRPr="009E69D6" w14:paraId="164BD941" w14:textId="1C8EA587" w:rsidTr="00F867DE">
        <w:tc>
          <w:tcPr>
            <w:tcW w:w="4711" w:type="dxa"/>
          </w:tcPr>
          <w:p w14:paraId="2BF94EAC"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Las causas que dieron origen a la imposición de la medida;</w:t>
            </w:r>
          </w:p>
        </w:tc>
        <w:tc>
          <w:tcPr>
            <w:tcW w:w="4649" w:type="dxa"/>
          </w:tcPr>
          <w:p w14:paraId="2770F9E5" w14:textId="7FACC7FC"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causes that gave rise to the imposition of the measure;</w:t>
            </w:r>
          </w:p>
        </w:tc>
      </w:tr>
      <w:tr w:rsidR="009849AC" w:rsidRPr="009E69D6" w14:paraId="3088BD77" w14:textId="342F9577" w:rsidTr="00F867DE">
        <w:tc>
          <w:tcPr>
            <w:tcW w:w="4711" w:type="dxa"/>
          </w:tcPr>
          <w:p w14:paraId="76DA5200" w14:textId="77777777" w:rsidR="009849AC" w:rsidRPr="00837D4A" w:rsidRDefault="009849AC" w:rsidP="009849AC">
            <w:pPr>
              <w:pStyle w:val="Texto"/>
              <w:spacing w:after="86"/>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Las acciones correctivas necesarias para desvirtuarlas o subsanarlas, y</w:t>
            </w:r>
          </w:p>
        </w:tc>
        <w:tc>
          <w:tcPr>
            <w:tcW w:w="4649" w:type="dxa"/>
          </w:tcPr>
          <w:p w14:paraId="2085D6D1" w14:textId="2280FE91"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corrective actions necessary to rectify or correct them, and</w:t>
            </w:r>
          </w:p>
        </w:tc>
      </w:tr>
      <w:tr w:rsidR="009849AC" w:rsidRPr="009E69D6" w14:paraId="1490422A" w14:textId="498EC892" w:rsidTr="00F867DE">
        <w:tc>
          <w:tcPr>
            <w:tcW w:w="4711" w:type="dxa"/>
          </w:tcPr>
          <w:p w14:paraId="08D954A0" w14:textId="77777777" w:rsidR="009849AC" w:rsidRPr="00837D4A" w:rsidRDefault="009849AC" w:rsidP="009849AC">
            <w:pPr>
              <w:pStyle w:val="Texto"/>
              <w:spacing w:after="86"/>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El plazo para llevar a cabo las acciones correctivas.</w:t>
            </w:r>
          </w:p>
        </w:tc>
        <w:tc>
          <w:tcPr>
            <w:tcW w:w="4649" w:type="dxa"/>
          </w:tcPr>
          <w:p w14:paraId="05B16F2C" w14:textId="49B2C96E"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deadline for carrying out corrective actions.</w:t>
            </w:r>
          </w:p>
        </w:tc>
      </w:tr>
      <w:tr w:rsidR="009849AC" w:rsidRPr="009E69D6" w14:paraId="26599AA0" w14:textId="03028E34" w:rsidTr="00F867DE">
        <w:tc>
          <w:tcPr>
            <w:tcW w:w="4711" w:type="dxa"/>
          </w:tcPr>
          <w:p w14:paraId="7D46F608"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293.</w:t>
            </w:r>
            <w:r w:rsidRPr="00837D4A">
              <w:rPr>
                <w:rFonts w:ascii="Verdana" w:hAnsi="Verdana"/>
                <w:sz w:val="16"/>
                <w:szCs w:val="16"/>
              </w:rPr>
              <w:t xml:space="preserve"> La autoridad debe emitir el acuerdo de inicio del procedimiento dentro de los quince días naturales siguientes a la imposición de la medida cautelar o precautoria, el cual debe ser notificado en un plazo no mayor a diez días hábiles a partir de su emisión.</w:t>
            </w:r>
          </w:p>
        </w:tc>
        <w:tc>
          <w:tcPr>
            <w:tcW w:w="4649" w:type="dxa"/>
          </w:tcPr>
          <w:p w14:paraId="1416229B" w14:textId="7878BADD"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293. </w:t>
            </w:r>
            <w:r w:rsidRPr="00837D4A">
              <w:rPr>
                <w:rFonts w:ascii="Verdana" w:hAnsi="Verdana"/>
                <w:sz w:val="16"/>
                <w:szCs w:val="16"/>
                <w:lang w:val="en-US"/>
              </w:rPr>
              <w:t>The authority must issue the agreement to initiate the procedure within fifteen calendar days following the imposition of the cautionary or precautionary measure, which must be notified within a period of no more than ten business days from its issuance.</w:t>
            </w:r>
          </w:p>
        </w:tc>
      </w:tr>
      <w:tr w:rsidR="009849AC" w:rsidRPr="009E69D6" w14:paraId="17216FB7" w14:textId="303A5341" w:rsidTr="00F867DE">
        <w:tc>
          <w:tcPr>
            <w:tcW w:w="4711" w:type="dxa"/>
          </w:tcPr>
          <w:p w14:paraId="568DC091"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294.</w:t>
            </w:r>
            <w:r w:rsidRPr="00837D4A">
              <w:rPr>
                <w:rFonts w:ascii="Verdana" w:hAnsi="Verdana"/>
                <w:sz w:val="16"/>
                <w:szCs w:val="16"/>
              </w:rPr>
              <w:t xml:space="preserve"> En el acuerdo en que se determine el inicio del procedimiento de medida cautelar o precautoria, la autoridad debe señalar al interesado que cuenta con un término de quince días hábiles para aportar las pruebas que considere convenientes y exponga lo que a su derecho convenga para desvirtuar o subsanar los hechos que dieron origen a la imposición de la medida.</w:t>
            </w:r>
          </w:p>
        </w:tc>
        <w:tc>
          <w:tcPr>
            <w:tcW w:w="4649" w:type="dxa"/>
          </w:tcPr>
          <w:p w14:paraId="48989EE8" w14:textId="4DD006DB"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294. </w:t>
            </w:r>
            <w:r w:rsidRPr="00837D4A">
              <w:rPr>
                <w:rFonts w:ascii="Verdana" w:hAnsi="Verdana"/>
                <w:sz w:val="16"/>
                <w:szCs w:val="16"/>
                <w:lang w:val="en-US"/>
              </w:rPr>
              <w:t>In the agreement determining the initiation of the cautionary or precautionary measure procedure, the authority must inform the interested party that they have a period of fifteen working days to provide the evidence they consider appropriate and to state what is appropriate to their rights to refute or correct the facts that gave rise to the imposition of the measure.</w:t>
            </w:r>
          </w:p>
        </w:tc>
      </w:tr>
      <w:tr w:rsidR="009849AC" w:rsidRPr="009E69D6" w14:paraId="1AB982D4" w14:textId="22151043" w:rsidTr="00F867DE">
        <w:tc>
          <w:tcPr>
            <w:tcW w:w="4711" w:type="dxa"/>
          </w:tcPr>
          <w:p w14:paraId="78C78EAD"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 xml:space="preserve">Artículo 295. </w:t>
            </w:r>
            <w:r w:rsidRPr="00837D4A">
              <w:rPr>
                <w:rFonts w:ascii="Verdana" w:hAnsi="Verdana"/>
                <w:sz w:val="16"/>
                <w:szCs w:val="16"/>
              </w:rPr>
              <w:t>La Secretaría o la Comisión, según corresponda, debe emitir la resolución correspondiente, dentro de los quince días hábiles siguientes a la conclusión del plazo otorgado para ofrecer pruebas y realizar manifestaciones.</w:t>
            </w:r>
          </w:p>
        </w:tc>
        <w:tc>
          <w:tcPr>
            <w:tcW w:w="4649" w:type="dxa"/>
          </w:tcPr>
          <w:p w14:paraId="1D1D95FC" w14:textId="590331D1"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295. </w:t>
            </w:r>
            <w:r w:rsidRPr="00837D4A">
              <w:rPr>
                <w:rFonts w:ascii="Verdana" w:hAnsi="Verdana"/>
                <w:sz w:val="16"/>
                <w:szCs w:val="16"/>
                <w:lang w:val="en-US"/>
              </w:rPr>
              <w:t>The Secretary or the Commission, as appropriate, must issue the corresponding resolution within fifteen business days following the conclusion of the period granted to offer evidence and make statements.</w:t>
            </w:r>
          </w:p>
        </w:tc>
      </w:tr>
      <w:tr w:rsidR="009849AC" w:rsidRPr="009E69D6" w14:paraId="041CCD6A" w14:textId="130FAE81" w:rsidTr="00F867DE">
        <w:tc>
          <w:tcPr>
            <w:tcW w:w="4711" w:type="dxa"/>
          </w:tcPr>
          <w:p w14:paraId="59DCBBC8"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En caso de que con la información presentada se subsanen o desvirtúen las causas que dieron origen a la imposición de la medida, se debe ordenar en la resolución administrativa correspondiente el levantamiento inmediato de la medida impuesta.</w:t>
            </w:r>
          </w:p>
        </w:tc>
        <w:tc>
          <w:tcPr>
            <w:tcW w:w="4649" w:type="dxa"/>
          </w:tcPr>
          <w:p w14:paraId="5BA6490D" w14:textId="4C86E034"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If the information submitted corrects or refutes the reasons that led to the imposition of the measure, the corresponding administrative resolution must order the immediate lifting of the imposed measure.</w:t>
            </w:r>
          </w:p>
        </w:tc>
      </w:tr>
      <w:tr w:rsidR="009849AC" w:rsidRPr="009E69D6" w14:paraId="21C00135" w14:textId="154D6EC9" w:rsidTr="00F867DE">
        <w:tc>
          <w:tcPr>
            <w:tcW w:w="4711" w:type="dxa"/>
          </w:tcPr>
          <w:p w14:paraId="6001023E"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En el supuesto de que no se presente la información dentro del plazo establecido o que la información presentada no subsane o desvirtúe las causas que dieron origen a la imposición de la medida, la autoridad competente debe señalar de manera fundada y motivada, las razones que sustentan dicha determinación en la resolución administrativa que emita.</w:t>
            </w:r>
          </w:p>
        </w:tc>
        <w:tc>
          <w:tcPr>
            <w:tcW w:w="4649" w:type="dxa"/>
          </w:tcPr>
          <w:p w14:paraId="569FE08C" w14:textId="16088DA9"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In the event that the information is not submitted within the established period or that the information submitted does not correct or refute the causes that led to the imposition of the measure, the appropriate authority must state, in a reasoned and substantiated manner, the reasons that support such determination in the administrative resolution it issues.</w:t>
            </w:r>
          </w:p>
        </w:tc>
      </w:tr>
      <w:tr w:rsidR="009849AC" w:rsidRPr="009E69D6" w14:paraId="02EE240E" w14:textId="4E76384B" w:rsidTr="00F867DE">
        <w:tc>
          <w:tcPr>
            <w:tcW w:w="4711" w:type="dxa"/>
          </w:tcPr>
          <w:p w14:paraId="5DFB0B52"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En su caso, la resolución debe incluir las acciones correctivas que resulten necesarias para subsanar o desvirtuar las causas que dieron origen a la imposición de la medida, con el objeto de que se solicite el levantamiento de la medida cautelar o precautoria.</w:t>
            </w:r>
          </w:p>
        </w:tc>
        <w:tc>
          <w:tcPr>
            <w:tcW w:w="4649" w:type="dxa"/>
          </w:tcPr>
          <w:p w14:paraId="285A827E" w14:textId="6709248C"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Where applicable, the resolution must include the corrective actions necessary to remedy or address the causes that led to the imposition of the measure, in order to request the lifting of the cautionary or precautionary measure.</w:t>
            </w:r>
          </w:p>
        </w:tc>
      </w:tr>
      <w:tr w:rsidR="009849AC" w:rsidRPr="009E69D6" w14:paraId="1CB77636" w14:textId="334CEF2B" w:rsidTr="00F867DE">
        <w:tc>
          <w:tcPr>
            <w:tcW w:w="4711" w:type="dxa"/>
          </w:tcPr>
          <w:p w14:paraId="04E9E9B5"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t>En la resolución señalada en el párrafo anterior, la autoridad debe solicitar la anotación en el sistema de registro de permisos, e indicar la leyenda “Suspensión Provisional”, la cual subsiste hasta que se ordene su levantamiento.</w:t>
            </w:r>
          </w:p>
        </w:tc>
        <w:tc>
          <w:tcPr>
            <w:tcW w:w="4649" w:type="dxa"/>
          </w:tcPr>
          <w:p w14:paraId="298024D5" w14:textId="434B2A2C"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In the resolution indicated in the preceding paragraph, the authority must request the entry in the permit registration system, and indicate the legend "Provisional Suspension," which remains in effect until its lifting is ordered.</w:t>
            </w:r>
          </w:p>
        </w:tc>
      </w:tr>
      <w:tr w:rsidR="009849AC" w:rsidRPr="009E69D6" w14:paraId="12AF737A" w14:textId="3411BB8C" w:rsidTr="00F867DE">
        <w:tc>
          <w:tcPr>
            <w:tcW w:w="4711" w:type="dxa"/>
          </w:tcPr>
          <w:p w14:paraId="453EBB97"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296.</w:t>
            </w:r>
            <w:r w:rsidRPr="00837D4A">
              <w:rPr>
                <w:rFonts w:ascii="Verdana" w:hAnsi="Verdana"/>
                <w:sz w:val="16"/>
                <w:szCs w:val="16"/>
              </w:rPr>
              <w:t xml:space="preserve"> El procedimiento para el levantamiento de la medida cautelar o precautoria es independiente a los procedimientos de verificación, y en su caso, del procedimiento de sanción que la Secretaría o la </w:t>
            </w:r>
            <w:r w:rsidRPr="00837D4A">
              <w:rPr>
                <w:rFonts w:ascii="Verdana" w:hAnsi="Verdana"/>
                <w:sz w:val="16"/>
                <w:szCs w:val="16"/>
              </w:rPr>
              <w:lastRenderedPageBreak/>
              <w:t>Comisión, en el ámbito de su competencia, puedan llevar a cabo conforme a sus atribuciones.</w:t>
            </w:r>
          </w:p>
        </w:tc>
        <w:tc>
          <w:tcPr>
            <w:tcW w:w="4649" w:type="dxa"/>
          </w:tcPr>
          <w:p w14:paraId="2754BE3B" w14:textId="2FA91050"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lastRenderedPageBreak/>
              <w:t xml:space="preserve">Article 296. </w:t>
            </w:r>
            <w:r w:rsidRPr="00837D4A">
              <w:rPr>
                <w:rFonts w:ascii="Verdana" w:hAnsi="Verdana"/>
                <w:sz w:val="16"/>
                <w:szCs w:val="16"/>
                <w:lang w:val="en-US"/>
              </w:rPr>
              <w:t xml:space="preserve">The procedure for lifting the cautionary or precautionary measure is independent of the verification procedures and, where applicable, the sanctioning procedure that the Secretary or the </w:t>
            </w:r>
            <w:r w:rsidRPr="00837D4A">
              <w:rPr>
                <w:rFonts w:ascii="Verdana" w:hAnsi="Verdana"/>
                <w:sz w:val="16"/>
                <w:szCs w:val="16"/>
                <w:lang w:val="en-US"/>
              </w:rPr>
              <w:lastRenderedPageBreak/>
              <w:t>Commission, within the scope of their authority, may carry out in accordance with their powers.</w:t>
            </w:r>
          </w:p>
        </w:tc>
      </w:tr>
      <w:tr w:rsidR="009849AC" w:rsidRPr="009E69D6" w14:paraId="0F487E6E" w14:textId="7912A523" w:rsidTr="00F867DE">
        <w:tc>
          <w:tcPr>
            <w:tcW w:w="4711" w:type="dxa"/>
          </w:tcPr>
          <w:p w14:paraId="6FEDC26B"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sz w:val="16"/>
                <w:szCs w:val="16"/>
              </w:rPr>
              <w:lastRenderedPageBreak/>
              <w:t>Lo anterior, sin perjuicio del ejercicio de otras acciones administrativas y penales que procedan con motivo de las irregularidades detectadas por la autoridad, en el ejercicio de sus atribuciones de supervisión y verificación.</w:t>
            </w:r>
          </w:p>
        </w:tc>
        <w:tc>
          <w:tcPr>
            <w:tcW w:w="4649" w:type="dxa"/>
          </w:tcPr>
          <w:p w14:paraId="5B562966" w14:textId="6EBCDEAB" w:rsidR="009849AC" w:rsidRPr="00837D4A" w:rsidRDefault="009849AC" w:rsidP="009849AC">
            <w:pPr>
              <w:pStyle w:val="Texto"/>
              <w:spacing w:after="86"/>
              <w:ind w:firstLine="0"/>
              <w:rPr>
                <w:rFonts w:ascii="Verdana" w:hAnsi="Verdana"/>
                <w:sz w:val="16"/>
                <w:szCs w:val="16"/>
                <w:lang w:val="en-US"/>
              </w:rPr>
            </w:pPr>
            <w:r w:rsidRPr="00837D4A">
              <w:rPr>
                <w:rFonts w:ascii="Verdana" w:hAnsi="Verdana"/>
                <w:sz w:val="16"/>
                <w:szCs w:val="16"/>
                <w:lang w:val="en-US"/>
              </w:rPr>
              <w:t>The foregoing is without prejudice to the exercise of other administrative and criminal actions that may be appropriate due to irregularities detected by the authority in the exercise of its supervisory and verification powers.</w:t>
            </w:r>
          </w:p>
        </w:tc>
      </w:tr>
      <w:tr w:rsidR="009849AC" w:rsidRPr="009E69D6" w14:paraId="53AAB871" w14:textId="137F074C" w:rsidTr="00F867DE">
        <w:tc>
          <w:tcPr>
            <w:tcW w:w="4711" w:type="dxa"/>
          </w:tcPr>
          <w:p w14:paraId="6B2709AA" w14:textId="77777777" w:rsidR="009849AC" w:rsidRPr="00837D4A" w:rsidRDefault="009849AC" w:rsidP="009849AC">
            <w:pPr>
              <w:pStyle w:val="Texto"/>
              <w:spacing w:after="86"/>
              <w:ind w:firstLine="0"/>
              <w:rPr>
                <w:rFonts w:ascii="Verdana" w:hAnsi="Verdana"/>
                <w:sz w:val="16"/>
                <w:szCs w:val="16"/>
              </w:rPr>
            </w:pPr>
            <w:r w:rsidRPr="00837D4A">
              <w:rPr>
                <w:rFonts w:ascii="Verdana" w:hAnsi="Verdana"/>
                <w:b/>
                <w:sz w:val="16"/>
                <w:szCs w:val="16"/>
              </w:rPr>
              <w:t>Artículo 297.</w:t>
            </w:r>
            <w:r w:rsidRPr="00837D4A">
              <w:rPr>
                <w:rFonts w:ascii="Verdana" w:hAnsi="Verdana"/>
                <w:sz w:val="16"/>
                <w:szCs w:val="16"/>
              </w:rPr>
              <w:t xml:space="preserve"> Para efectos de subsanar o desvirtuar las causas que dieron origen a la imposición de la medida cautelar o precautoria en términos del artículo 79 de la Ley, son admisibles toda clase de pruebas, con excepción de la confesional de las autoridades, de conformidad con el artículo 50 de la Ley Federal de Procedimiento Administrativo.</w:t>
            </w:r>
          </w:p>
        </w:tc>
        <w:tc>
          <w:tcPr>
            <w:tcW w:w="4649" w:type="dxa"/>
          </w:tcPr>
          <w:p w14:paraId="0B47AEE7" w14:textId="29B70CA6" w:rsidR="009849AC" w:rsidRPr="00837D4A" w:rsidRDefault="009849AC" w:rsidP="009849AC">
            <w:pPr>
              <w:pStyle w:val="Texto"/>
              <w:spacing w:after="86"/>
              <w:ind w:firstLine="0"/>
              <w:rPr>
                <w:rFonts w:ascii="Verdana" w:hAnsi="Verdana"/>
                <w:b/>
                <w:sz w:val="16"/>
                <w:szCs w:val="16"/>
                <w:lang w:val="en-US"/>
              </w:rPr>
            </w:pPr>
            <w:r w:rsidRPr="00837D4A">
              <w:rPr>
                <w:rFonts w:ascii="Verdana" w:hAnsi="Verdana"/>
                <w:b/>
                <w:sz w:val="16"/>
                <w:szCs w:val="16"/>
                <w:lang w:val="en-US"/>
              </w:rPr>
              <w:t xml:space="preserve">Article 297. </w:t>
            </w:r>
            <w:r w:rsidRPr="00837D4A">
              <w:rPr>
                <w:rFonts w:ascii="Verdana" w:hAnsi="Verdana"/>
                <w:sz w:val="16"/>
                <w:szCs w:val="16"/>
                <w:lang w:val="en-US"/>
              </w:rPr>
              <w:t>For the purposes of correcting or refuting the causes that gave rise to the imposition of the cautionary or precautionary measure in terms of Article 79 of the Law, all types of evidence are admissible, with the exception of the confession of the authorities, in accordance with Article 50 of the Federal Law of Administrative Procedure.</w:t>
            </w:r>
          </w:p>
        </w:tc>
      </w:tr>
      <w:tr w:rsidR="009849AC" w:rsidRPr="00D0180E" w14:paraId="637C1D88" w14:textId="580D818C" w:rsidTr="00F867DE">
        <w:tc>
          <w:tcPr>
            <w:tcW w:w="4711" w:type="dxa"/>
          </w:tcPr>
          <w:p w14:paraId="5772A04A" w14:textId="77777777" w:rsidR="009849AC" w:rsidRPr="00837D4A" w:rsidRDefault="009849AC" w:rsidP="009849AC">
            <w:pPr>
              <w:pStyle w:val="Texto"/>
              <w:spacing w:after="84"/>
              <w:ind w:firstLine="0"/>
              <w:jc w:val="center"/>
              <w:rPr>
                <w:rFonts w:ascii="Verdana" w:hAnsi="Verdana"/>
                <w:sz w:val="16"/>
                <w:szCs w:val="16"/>
              </w:rPr>
            </w:pPr>
            <w:r w:rsidRPr="00837D4A">
              <w:rPr>
                <w:rFonts w:ascii="Verdana" w:hAnsi="Verdana"/>
                <w:b/>
                <w:sz w:val="16"/>
                <w:szCs w:val="16"/>
              </w:rPr>
              <w:t>TÍTULO OCTAVO</w:t>
            </w:r>
          </w:p>
        </w:tc>
        <w:tc>
          <w:tcPr>
            <w:tcW w:w="4649" w:type="dxa"/>
          </w:tcPr>
          <w:p w14:paraId="192FC974" w14:textId="720EBD14" w:rsidR="009849AC" w:rsidRPr="00837D4A" w:rsidRDefault="009849AC" w:rsidP="009849AC">
            <w:pPr>
              <w:pStyle w:val="Texto"/>
              <w:spacing w:after="84"/>
              <w:ind w:firstLine="0"/>
              <w:jc w:val="center"/>
              <w:rPr>
                <w:rFonts w:ascii="Verdana" w:hAnsi="Verdana"/>
                <w:b/>
                <w:sz w:val="16"/>
                <w:szCs w:val="16"/>
                <w:lang w:val="en-US"/>
              </w:rPr>
            </w:pPr>
            <w:r w:rsidRPr="00837D4A">
              <w:rPr>
                <w:rFonts w:ascii="Verdana" w:hAnsi="Verdana"/>
                <w:b/>
                <w:sz w:val="16"/>
                <w:szCs w:val="16"/>
              </w:rPr>
              <w:t xml:space="preserve">EIGHTH TITLE </w:t>
            </w:r>
          </w:p>
        </w:tc>
      </w:tr>
      <w:tr w:rsidR="009849AC" w:rsidRPr="00D0180E" w14:paraId="4AA5FE6E" w14:textId="595028B4" w:rsidTr="00F867DE">
        <w:tc>
          <w:tcPr>
            <w:tcW w:w="4711" w:type="dxa"/>
          </w:tcPr>
          <w:p w14:paraId="2B85E4C4" w14:textId="77777777" w:rsidR="009849AC" w:rsidRPr="00837D4A" w:rsidRDefault="009849AC" w:rsidP="009849AC">
            <w:pPr>
              <w:pStyle w:val="Texto"/>
              <w:spacing w:after="84"/>
              <w:ind w:firstLine="0"/>
              <w:jc w:val="center"/>
              <w:rPr>
                <w:rFonts w:ascii="Verdana" w:hAnsi="Verdana"/>
                <w:sz w:val="16"/>
                <w:szCs w:val="16"/>
              </w:rPr>
            </w:pPr>
            <w:r w:rsidRPr="00837D4A">
              <w:rPr>
                <w:rFonts w:ascii="Verdana" w:hAnsi="Verdana"/>
                <w:b/>
                <w:sz w:val="16"/>
                <w:szCs w:val="16"/>
              </w:rPr>
              <w:t>DEL PROCEDIMIENTO PARA LA DETERMINACIÓN DE SANCIONES</w:t>
            </w:r>
          </w:p>
        </w:tc>
        <w:tc>
          <w:tcPr>
            <w:tcW w:w="4649" w:type="dxa"/>
          </w:tcPr>
          <w:p w14:paraId="733658C1" w14:textId="745817DD" w:rsidR="009849AC" w:rsidRPr="00837D4A" w:rsidRDefault="009849AC" w:rsidP="009849AC">
            <w:pPr>
              <w:pStyle w:val="Texto"/>
              <w:spacing w:after="84"/>
              <w:ind w:firstLine="0"/>
              <w:jc w:val="center"/>
              <w:rPr>
                <w:rFonts w:ascii="Verdana" w:hAnsi="Verdana"/>
                <w:b/>
                <w:sz w:val="16"/>
                <w:szCs w:val="16"/>
                <w:lang w:val="en-US"/>
              </w:rPr>
            </w:pPr>
            <w:r w:rsidRPr="00837D4A">
              <w:rPr>
                <w:rFonts w:ascii="Verdana" w:hAnsi="Verdana"/>
                <w:b/>
                <w:sz w:val="16"/>
                <w:szCs w:val="16"/>
              </w:rPr>
              <w:t>PROCEDURE FOR DETERMINING PENALTIES</w:t>
            </w:r>
          </w:p>
        </w:tc>
      </w:tr>
      <w:tr w:rsidR="009849AC" w:rsidRPr="009E69D6" w14:paraId="7C6840D4" w14:textId="06F7DC61" w:rsidTr="00F867DE">
        <w:tc>
          <w:tcPr>
            <w:tcW w:w="4711" w:type="dxa"/>
          </w:tcPr>
          <w:p w14:paraId="5D1EA9E3" w14:textId="77777777" w:rsidR="009849AC" w:rsidRPr="00837D4A" w:rsidRDefault="009849AC" w:rsidP="009849AC">
            <w:pPr>
              <w:pStyle w:val="Texto"/>
              <w:spacing w:after="84"/>
              <w:ind w:firstLine="0"/>
              <w:rPr>
                <w:rFonts w:ascii="Verdana" w:hAnsi="Verdana"/>
                <w:sz w:val="16"/>
                <w:szCs w:val="16"/>
              </w:rPr>
            </w:pPr>
            <w:r w:rsidRPr="00837D4A">
              <w:rPr>
                <w:rFonts w:ascii="Verdana" w:hAnsi="Verdana"/>
                <w:b/>
                <w:sz w:val="16"/>
                <w:szCs w:val="16"/>
              </w:rPr>
              <w:t>Artículo 298.</w:t>
            </w:r>
            <w:r w:rsidRPr="00837D4A">
              <w:rPr>
                <w:rFonts w:ascii="Verdana" w:hAnsi="Verdana"/>
                <w:sz w:val="16"/>
                <w:szCs w:val="16"/>
              </w:rPr>
              <w:t xml:space="preserve"> Las personas Asignatarias, Contratistas, Autorizadas y Permisionarias que cumplan con sus obligaciones de manera espontánea y lo hagan del conocimiento de la autoridad competente, por escrito o por los medios de comunicación determinados en la Normatividad aplicable, no pueden ser sancionadas en términos de lo previsto en los artículos 120, 121 y 122 </w:t>
            </w:r>
            <w:r w:rsidRPr="00837D4A">
              <w:rPr>
                <w:rFonts w:ascii="Verdana" w:hAnsi="Verdana"/>
                <w:sz w:val="16"/>
                <w:szCs w:val="16"/>
                <w:lang w:val="es"/>
              </w:rPr>
              <w:t>de la Ley</w:t>
            </w:r>
            <w:r w:rsidRPr="00837D4A">
              <w:rPr>
                <w:rFonts w:ascii="Verdana" w:hAnsi="Verdana"/>
                <w:sz w:val="16"/>
                <w:szCs w:val="16"/>
              </w:rPr>
              <w:t>, siempre y cuando, las conductas u omisiones referidas en dichos artículos, no deriven de actividades ilícitas en términos de la Normatividad aplicable.</w:t>
            </w:r>
          </w:p>
        </w:tc>
        <w:tc>
          <w:tcPr>
            <w:tcW w:w="4649" w:type="dxa"/>
          </w:tcPr>
          <w:p w14:paraId="6DCE16E1" w14:textId="6F94DE72"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Article 298. </w:t>
            </w:r>
            <w:r w:rsidRPr="00837D4A">
              <w:rPr>
                <w:rFonts w:ascii="Verdana" w:hAnsi="Verdana"/>
                <w:sz w:val="16"/>
                <w:szCs w:val="16"/>
                <w:lang w:val="en-US"/>
              </w:rPr>
              <w:t>Assignees, Contractors, Authorized Persons and Permit Holders who spontaneously fulfill their obligations and make it known to the appropriate authority, in writing or through the means of communication determined in the applicable legislation, may not be sanctioned in terms of the provisions of articles 120, 121 and 122 of the Law, provided that the conduct or omissions referred to in said articles do not derive from illegal activities in terms of the applicable legislation.</w:t>
            </w:r>
          </w:p>
        </w:tc>
      </w:tr>
      <w:tr w:rsidR="009849AC" w:rsidRPr="009E69D6" w14:paraId="038054CE" w14:textId="1650A4EF" w:rsidTr="00F867DE">
        <w:tc>
          <w:tcPr>
            <w:tcW w:w="4711" w:type="dxa"/>
          </w:tcPr>
          <w:p w14:paraId="468BFD47" w14:textId="77777777" w:rsidR="009849AC" w:rsidRPr="00837D4A" w:rsidRDefault="009849AC" w:rsidP="009849AC">
            <w:pPr>
              <w:pStyle w:val="Texto"/>
              <w:spacing w:after="84"/>
              <w:ind w:firstLine="0"/>
              <w:rPr>
                <w:rFonts w:ascii="Verdana" w:hAnsi="Verdana"/>
                <w:sz w:val="16"/>
                <w:szCs w:val="16"/>
                <w:lang w:val="es"/>
              </w:rPr>
            </w:pPr>
            <w:r w:rsidRPr="00837D4A">
              <w:rPr>
                <w:rFonts w:ascii="Verdana" w:hAnsi="Verdana"/>
                <w:b/>
                <w:sz w:val="16"/>
                <w:szCs w:val="16"/>
                <w:lang w:val="es"/>
              </w:rPr>
              <w:t>Artículo 299.</w:t>
            </w:r>
            <w:r w:rsidRPr="00837D4A">
              <w:rPr>
                <w:rFonts w:ascii="Verdana" w:hAnsi="Verdana"/>
                <w:sz w:val="16"/>
                <w:szCs w:val="16"/>
                <w:lang w:val="es"/>
              </w:rPr>
              <w:t xml:space="preserve"> Para efectos del artículo anterior, se considera que el cumplimiento no es espontáneo cuando:</w:t>
            </w:r>
          </w:p>
        </w:tc>
        <w:tc>
          <w:tcPr>
            <w:tcW w:w="4649" w:type="dxa"/>
          </w:tcPr>
          <w:p w14:paraId="2ED42D95" w14:textId="538FA84C"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Article 299. </w:t>
            </w:r>
            <w:r w:rsidRPr="00837D4A">
              <w:rPr>
                <w:rFonts w:ascii="Verdana" w:hAnsi="Verdana"/>
                <w:sz w:val="16"/>
                <w:szCs w:val="16"/>
                <w:lang w:val="en-US"/>
              </w:rPr>
              <w:t>For the purposes of the preceding article, compliance is considered not to be spontaneous when:</w:t>
            </w:r>
          </w:p>
        </w:tc>
      </w:tr>
      <w:tr w:rsidR="009849AC" w:rsidRPr="009E69D6" w14:paraId="18D24A18" w14:textId="1CE56EEB" w:rsidTr="00F867DE">
        <w:tc>
          <w:tcPr>
            <w:tcW w:w="4711" w:type="dxa"/>
          </w:tcPr>
          <w:p w14:paraId="6D42054D" w14:textId="77777777" w:rsidR="009849AC" w:rsidRPr="00837D4A" w:rsidRDefault="009849AC" w:rsidP="009849AC">
            <w:pPr>
              <w:pStyle w:val="Texto"/>
              <w:spacing w:after="84"/>
              <w:ind w:firstLine="0"/>
              <w:rPr>
                <w:rFonts w:ascii="Verdana" w:hAnsi="Verdana"/>
                <w:b/>
                <w:sz w:val="16"/>
                <w:szCs w:val="16"/>
                <w:lang w:val="es"/>
              </w:rPr>
            </w:pPr>
            <w:r w:rsidRPr="00837D4A">
              <w:rPr>
                <w:rFonts w:ascii="Verdana" w:hAnsi="Verdana"/>
                <w:b/>
                <w:sz w:val="16"/>
                <w:szCs w:val="16"/>
                <w:lang w:val="es"/>
              </w:rPr>
              <w:t>I.</w:t>
            </w:r>
            <w:r w:rsidRPr="00837D4A">
              <w:rPr>
                <w:rFonts w:ascii="Verdana" w:hAnsi="Verdana"/>
                <w:b/>
                <w:sz w:val="16"/>
                <w:szCs w:val="16"/>
                <w:lang w:val="es"/>
              </w:rPr>
              <w:tab/>
            </w:r>
            <w:r w:rsidRPr="00837D4A">
              <w:rPr>
                <w:rFonts w:ascii="Verdana" w:hAnsi="Verdana"/>
                <w:sz w:val="16"/>
                <w:szCs w:val="16"/>
              </w:rPr>
              <w:t>La omisión sea detectada por las autoridades competentes, o</w:t>
            </w:r>
          </w:p>
        </w:tc>
        <w:tc>
          <w:tcPr>
            <w:tcW w:w="4649" w:type="dxa"/>
          </w:tcPr>
          <w:p w14:paraId="28DCF348" w14:textId="19D9E46A"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omission is detected by the appropriate authorities, or</w:t>
            </w:r>
          </w:p>
        </w:tc>
      </w:tr>
      <w:tr w:rsidR="009849AC" w:rsidRPr="009E69D6" w14:paraId="512DED01" w14:textId="3F6DD6B1" w:rsidTr="00F867DE">
        <w:tc>
          <w:tcPr>
            <w:tcW w:w="4711" w:type="dxa"/>
          </w:tcPr>
          <w:p w14:paraId="56713C94" w14:textId="77777777" w:rsidR="009849AC" w:rsidRPr="00837D4A" w:rsidRDefault="009849AC" w:rsidP="009849AC">
            <w:pPr>
              <w:pStyle w:val="Texto"/>
              <w:spacing w:after="84"/>
              <w:ind w:firstLine="0"/>
              <w:rPr>
                <w:rFonts w:ascii="Verdana" w:hAnsi="Verdana"/>
                <w:b/>
                <w:sz w:val="16"/>
                <w:szCs w:val="16"/>
                <w:lang w:val="es"/>
              </w:rPr>
            </w:pPr>
            <w:r w:rsidRPr="00837D4A">
              <w:rPr>
                <w:rFonts w:ascii="Verdana" w:hAnsi="Verdana"/>
                <w:b/>
                <w:sz w:val="16"/>
                <w:szCs w:val="16"/>
                <w:lang w:val="es"/>
              </w:rPr>
              <w:t>II.</w:t>
            </w:r>
            <w:r w:rsidRPr="00837D4A">
              <w:rPr>
                <w:rFonts w:ascii="Verdana" w:hAnsi="Verdana"/>
                <w:b/>
                <w:sz w:val="16"/>
                <w:szCs w:val="16"/>
                <w:lang w:val="es"/>
              </w:rPr>
              <w:tab/>
            </w:r>
            <w:r w:rsidRPr="00837D4A">
              <w:rPr>
                <w:rFonts w:ascii="Verdana" w:hAnsi="Verdana"/>
                <w:sz w:val="16"/>
                <w:szCs w:val="16"/>
                <w:lang w:val="es"/>
              </w:rPr>
              <w:t>La omisión haya sido corregida por la posible persona infractora después de que la autoridad competente hubiese notificado una orden de visita de verificación, el inicio de un procedimiento de verificación mediante requerimientos o comparecencias, o el inicio de un procedimiento administrativo de sanción.</w:t>
            </w:r>
          </w:p>
        </w:tc>
        <w:tc>
          <w:tcPr>
            <w:tcW w:w="4649" w:type="dxa"/>
          </w:tcPr>
          <w:p w14:paraId="73D20D5A" w14:textId="0E693738"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omission has been corrected by the potential offender after the appropriate authority has notified a verification visit order, initiated a verification procedure through requests or appearances, or initiated an administrative sanction procedure.</w:t>
            </w:r>
          </w:p>
        </w:tc>
      </w:tr>
      <w:tr w:rsidR="009849AC" w:rsidRPr="009E69D6" w14:paraId="56EC5982" w14:textId="5C5739B8" w:rsidTr="00F867DE">
        <w:tc>
          <w:tcPr>
            <w:tcW w:w="4711" w:type="dxa"/>
          </w:tcPr>
          <w:p w14:paraId="69EA2723" w14:textId="77777777" w:rsidR="009849AC" w:rsidRPr="00837D4A" w:rsidRDefault="009849AC" w:rsidP="009849AC">
            <w:pPr>
              <w:pStyle w:val="Texto"/>
              <w:spacing w:after="84"/>
              <w:ind w:firstLine="0"/>
              <w:rPr>
                <w:rFonts w:ascii="Verdana" w:hAnsi="Verdana"/>
                <w:b/>
                <w:sz w:val="16"/>
                <w:szCs w:val="16"/>
                <w:lang w:val="es"/>
              </w:rPr>
            </w:pPr>
            <w:r w:rsidRPr="00837D4A">
              <w:rPr>
                <w:rFonts w:ascii="Verdana" w:hAnsi="Verdana"/>
                <w:b/>
                <w:sz w:val="16"/>
                <w:szCs w:val="16"/>
                <w:lang w:val="es"/>
              </w:rPr>
              <w:t>Artículo 300.</w:t>
            </w:r>
            <w:r w:rsidRPr="00837D4A">
              <w:rPr>
                <w:rFonts w:ascii="Verdana" w:hAnsi="Verdana"/>
                <w:sz w:val="16"/>
                <w:szCs w:val="16"/>
                <w:lang w:val="es"/>
              </w:rPr>
              <w:t xml:space="preserve"> La Secretaría y la Comisión, en el ámbito de sus respectivas competencias, deben sancionar las conductas, actos u omisiones de las personas reguladas, conforme al procedimiento previsto en la Ley Federal de Procedimiento Administrativo.</w:t>
            </w:r>
          </w:p>
        </w:tc>
        <w:tc>
          <w:tcPr>
            <w:tcW w:w="4649" w:type="dxa"/>
          </w:tcPr>
          <w:p w14:paraId="194E23C9" w14:textId="35825649"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Article 300. </w:t>
            </w:r>
            <w:r w:rsidRPr="00837D4A">
              <w:rPr>
                <w:rFonts w:ascii="Verdana" w:hAnsi="Verdana"/>
                <w:sz w:val="16"/>
                <w:szCs w:val="16"/>
                <w:lang w:val="en-US"/>
              </w:rPr>
              <w:t>The Secretary and the Commission, within the scope of their respective powers, must sanction the conduct, acts or omissions of regulated persons, in accordance with the procedure provided in the Federal Law of Administrative Procedure.</w:t>
            </w:r>
          </w:p>
        </w:tc>
      </w:tr>
      <w:tr w:rsidR="009849AC" w:rsidRPr="009E69D6" w14:paraId="66BE9F54" w14:textId="65BF849F" w:rsidTr="00F867DE">
        <w:tc>
          <w:tcPr>
            <w:tcW w:w="4711" w:type="dxa"/>
          </w:tcPr>
          <w:p w14:paraId="4432AA5E" w14:textId="77777777" w:rsidR="009849AC" w:rsidRPr="00837D4A" w:rsidRDefault="009849AC" w:rsidP="009849AC">
            <w:pPr>
              <w:pStyle w:val="Texto"/>
              <w:spacing w:after="84"/>
              <w:ind w:firstLine="0"/>
              <w:rPr>
                <w:rFonts w:ascii="Verdana" w:hAnsi="Verdana"/>
                <w:sz w:val="16"/>
                <w:szCs w:val="16"/>
              </w:rPr>
            </w:pPr>
            <w:r w:rsidRPr="00837D4A">
              <w:rPr>
                <w:rFonts w:ascii="Verdana" w:hAnsi="Verdana"/>
                <w:b/>
                <w:sz w:val="16"/>
                <w:szCs w:val="16"/>
              </w:rPr>
              <w:t>Artículo 301.</w:t>
            </w:r>
            <w:r w:rsidRPr="00837D4A">
              <w:rPr>
                <w:rFonts w:ascii="Verdana" w:hAnsi="Verdana"/>
                <w:sz w:val="16"/>
                <w:szCs w:val="16"/>
              </w:rPr>
              <w:t xml:space="preserve"> La Secretaría y la Comisión, en el ámbito de sus respectivas competencias, pueden implementar un padrón de registro de personas físicas y morales sancionadas, a efecto de dar publicidad respecto de las infracciones cometidas a la Ley y al presente reglamento.</w:t>
            </w:r>
          </w:p>
        </w:tc>
        <w:tc>
          <w:tcPr>
            <w:tcW w:w="4649" w:type="dxa"/>
          </w:tcPr>
          <w:p w14:paraId="7F4FC736" w14:textId="33A40EC4"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Article 301. </w:t>
            </w:r>
            <w:r w:rsidRPr="00837D4A">
              <w:rPr>
                <w:rFonts w:ascii="Verdana" w:hAnsi="Verdana"/>
                <w:sz w:val="16"/>
                <w:szCs w:val="16"/>
                <w:lang w:val="en-US"/>
              </w:rPr>
              <w:t>The Secretary and the Commission, within the scope of their respective powers, may implement a registry of sanctioned individuals and legal entities, in order to publicize violations committed against the Law and this Regulation.</w:t>
            </w:r>
          </w:p>
        </w:tc>
      </w:tr>
      <w:tr w:rsidR="009849AC" w:rsidRPr="009E69D6" w14:paraId="453C16BE" w14:textId="329A61B2" w:rsidTr="00F867DE">
        <w:tc>
          <w:tcPr>
            <w:tcW w:w="4711" w:type="dxa"/>
          </w:tcPr>
          <w:p w14:paraId="39F348C9" w14:textId="77777777" w:rsidR="009849AC" w:rsidRPr="00837D4A" w:rsidRDefault="009849AC" w:rsidP="009849AC">
            <w:pPr>
              <w:pStyle w:val="Texto"/>
              <w:spacing w:after="84"/>
              <w:ind w:firstLine="0"/>
              <w:rPr>
                <w:rFonts w:ascii="Verdana" w:hAnsi="Verdana"/>
                <w:sz w:val="16"/>
                <w:szCs w:val="16"/>
              </w:rPr>
            </w:pPr>
            <w:r w:rsidRPr="00837D4A">
              <w:rPr>
                <w:rFonts w:ascii="Verdana" w:hAnsi="Verdana"/>
                <w:b/>
                <w:sz w:val="16"/>
                <w:szCs w:val="16"/>
              </w:rPr>
              <w:t>Artículo 302.</w:t>
            </w:r>
            <w:r w:rsidRPr="00837D4A">
              <w:rPr>
                <w:rFonts w:ascii="Verdana" w:hAnsi="Verdana"/>
                <w:sz w:val="16"/>
                <w:szCs w:val="16"/>
              </w:rPr>
              <w:t xml:space="preserve"> Para la notificación de los actos derivados de los procedimientos previstos en el presente Capítulo, la Secretaría y la Comisión, en el ámbito de sus respectivas competencias, pueden auxiliarse del uso de sistemas de notificación electrónica que dispongan, siempre que hayan sido previamente autorizados por las </w:t>
            </w:r>
            <w:r w:rsidRPr="00837D4A">
              <w:rPr>
                <w:rFonts w:ascii="Verdana" w:hAnsi="Verdana"/>
                <w:sz w:val="16"/>
                <w:szCs w:val="16"/>
              </w:rPr>
              <w:lastRenderedPageBreak/>
              <w:t>personas reguladas en la obtención de los permisos y demás actividades previstas en Ley.</w:t>
            </w:r>
          </w:p>
        </w:tc>
        <w:tc>
          <w:tcPr>
            <w:tcW w:w="4649" w:type="dxa"/>
          </w:tcPr>
          <w:p w14:paraId="67A2C5E6" w14:textId="166677A6"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lastRenderedPageBreak/>
              <w:t xml:space="preserve">Article 302. </w:t>
            </w:r>
            <w:r w:rsidRPr="00837D4A">
              <w:rPr>
                <w:rFonts w:ascii="Verdana" w:hAnsi="Verdana"/>
                <w:sz w:val="16"/>
                <w:szCs w:val="16"/>
                <w:lang w:val="en-US"/>
              </w:rPr>
              <w:t xml:space="preserve">For the notification of acts arising from the procedures provided for in this Chapter, the Secretary and the Commission, within the scope of their respective powers, may use electronic notification systems at their disposal, provided that they have been previously authorized by the regulated persons in </w:t>
            </w:r>
            <w:r w:rsidRPr="00837D4A">
              <w:rPr>
                <w:rFonts w:ascii="Verdana" w:hAnsi="Verdana"/>
                <w:sz w:val="16"/>
                <w:szCs w:val="16"/>
                <w:lang w:val="en-US"/>
              </w:rPr>
              <w:lastRenderedPageBreak/>
              <w:t>obtaining permits and other activities provided for by law.</w:t>
            </w:r>
          </w:p>
        </w:tc>
      </w:tr>
      <w:tr w:rsidR="009849AC" w:rsidRPr="009E69D6" w14:paraId="3F4EEE5E" w14:textId="6A8EF965" w:rsidTr="00F867DE">
        <w:tc>
          <w:tcPr>
            <w:tcW w:w="4711" w:type="dxa"/>
          </w:tcPr>
          <w:p w14:paraId="2D415B0E" w14:textId="77777777" w:rsidR="009849AC" w:rsidRPr="00837D4A" w:rsidRDefault="009849AC" w:rsidP="009849AC">
            <w:pPr>
              <w:pStyle w:val="Texto"/>
              <w:spacing w:after="84"/>
              <w:ind w:firstLine="0"/>
              <w:rPr>
                <w:rFonts w:ascii="Verdana" w:hAnsi="Verdana"/>
                <w:sz w:val="16"/>
                <w:szCs w:val="16"/>
                <w:lang w:val="es"/>
              </w:rPr>
            </w:pPr>
            <w:r w:rsidRPr="00837D4A">
              <w:rPr>
                <w:rFonts w:ascii="Verdana" w:hAnsi="Verdana"/>
                <w:b/>
                <w:sz w:val="16"/>
                <w:szCs w:val="16"/>
              </w:rPr>
              <w:lastRenderedPageBreak/>
              <w:t xml:space="preserve">Artículo 303. </w:t>
            </w:r>
            <w:r w:rsidRPr="00837D4A">
              <w:rPr>
                <w:rFonts w:ascii="Verdana" w:hAnsi="Verdana"/>
                <w:sz w:val="16"/>
                <w:szCs w:val="16"/>
                <w:lang w:val="es"/>
              </w:rPr>
              <w:t>En los procedimientos administrativos de sanción, la Secretaría y la Comisión, en el ámbito de sus respectivas competencias, pueden implementar mecanismos que privilegien la reparación del daño y la regularización de las conductas u omisiones detectadas, en aquellos casos en que la presunta persona infractora lo solicite y se ubique por primera vez en alguno de los supuestos de infracción que prevén los artículos 120, 121 y 122 de la Ley, y no se actualice alguno de los siguientes supuestos:</w:t>
            </w:r>
          </w:p>
        </w:tc>
        <w:tc>
          <w:tcPr>
            <w:tcW w:w="4649" w:type="dxa"/>
          </w:tcPr>
          <w:p w14:paraId="0A0286AA" w14:textId="13198780"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Article 303. </w:t>
            </w:r>
            <w:r w:rsidRPr="00837D4A">
              <w:rPr>
                <w:rFonts w:ascii="Verdana" w:hAnsi="Verdana"/>
                <w:sz w:val="16"/>
                <w:szCs w:val="16"/>
                <w:lang w:val="en-US"/>
              </w:rPr>
              <w:t>In administrative sanction procedures, the Secretary and the Commission, within the scope of their respective powers, may implement mechanisms that prioritize the repair of damages and the regularization of the conduct or omissions detected, in those cases in which the alleged offender requests it and is located for the first time in any of the violation situations provided for in articles 120, 121 and 122 of the Law, and any of the following situations are not updated:</w:t>
            </w:r>
          </w:p>
        </w:tc>
      </w:tr>
      <w:tr w:rsidR="009849AC" w:rsidRPr="009E69D6" w14:paraId="0252137F" w14:textId="1DF4DB9C" w:rsidTr="00F867DE">
        <w:tc>
          <w:tcPr>
            <w:tcW w:w="4711" w:type="dxa"/>
          </w:tcPr>
          <w:p w14:paraId="521B7486" w14:textId="77777777" w:rsidR="009849AC" w:rsidRPr="00837D4A" w:rsidRDefault="009849AC" w:rsidP="009849AC">
            <w:pPr>
              <w:pStyle w:val="Texto"/>
              <w:spacing w:after="84"/>
              <w:ind w:firstLine="0"/>
              <w:rPr>
                <w:rFonts w:ascii="Verdana" w:hAnsi="Verdana"/>
                <w:b/>
                <w:sz w:val="16"/>
                <w:szCs w:val="16"/>
                <w:lang w:val="es"/>
              </w:rPr>
            </w:pPr>
            <w:r w:rsidRPr="00837D4A">
              <w:rPr>
                <w:rFonts w:ascii="Verdana" w:hAnsi="Verdana"/>
                <w:b/>
                <w:sz w:val="16"/>
                <w:szCs w:val="16"/>
                <w:lang w:val="es"/>
              </w:rPr>
              <w:t>I.</w:t>
            </w:r>
            <w:r w:rsidRPr="00837D4A">
              <w:rPr>
                <w:rFonts w:ascii="Verdana" w:hAnsi="Verdana"/>
                <w:b/>
                <w:sz w:val="16"/>
                <w:szCs w:val="16"/>
                <w:lang w:val="es"/>
              </w:rPr>
              <w:tab/>
            </w:r>
            <w:r w:rsidRPr="00837D4A">
              <w:rPr>
                <w:rFonts w:ascii="Verdana" w:hAnsi="Verdana"/>
                <w:sz w:val="16"/>
                <w:szCs w:val="16"/>
              </w:rPr>
              <w:t xml:space="preserve">Cuando se afecte o comprometa </w:t>
            </w:r>
            <w:r w:rsidRPr="00837D4A">
              <w:rPr>
                <w:rFonts w:ascii="Verdana" w:hAnsi="Verdana"/>
                <w:sz w:val="16"/>
                <w:szCs w:val="16"/>
                <w:lang w:val="es"/>
              </w:rPr>
              <w:t>cualquiera de las actividades previstas en el artículo 3 de la Ley</w:t>
            </w:r>
            <w:r w:rsidRPr="00837D4A">
              <w:rPr>
                <w:rFonts w:ascii="Verdana" w:hAnsi="Verdana"/>
                <w:sz w:val="16"/>
                <w:szCs w:val="16"/>
              </w:rPr>
              <w:t>;</w:t>
            </w:r>
          </w:p>
        </w:tc>
        <w:tc>
          <w:tcPr>
            <w:tcW w:w="4649" w:type="dxa"/>
          </w:tcPr>
          <w:p w14:paraId="5599BDD2" w14:textId="23260871"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Cs/>
                <w:sz w:val="16"/>
                <w:szCs w:val="16"/>
                <w:lang w:val="en-US"/>
              </w:rPr>
              <w:t>When</w:t>
            </w:r>
            <w:r w:rsidRPr="00837D4A">
              <w:rPr>
                <w:rFonts w:ascii="Verdana" w:hAnsi="Verdana"/>
                <w:b/>
                <w:sz w:val="16"/>
                <w:szCs w:val="16"/>
                <w:lang w:val="en-US"/>
              </w:rPr>
              <w:t xml:space="preserve"> </w:t>
            </w:r>
            <w:r w:rsidRPr="00837D4A">
              <w:rPr>
                <w:rFonts w:ascii="Verdana" w:hAnsi="Verdana"/>
                <w:sz w:val="16"/>
                <w:szCs w:val="16"/>
                <w:lang w:val="en-US"/>
              </w:rPr>
              <w:t>any of the activities provided for in Article 3 of the Law are affected or compromised;</w:t>
            </w:r>
          </w:p>
        </w:tc>
      </w:tr>
      <w:tr w:rsidR="009849AC" w:rsidRPr="009E69D6" w14:paraId="43BFA8E1" w14:textId="06140C71" w:rsidTr="00F867DE">
        <w:tc>
          <w:tcPr>
            <w:tcW w:w="4711" w:type="dxa"/>
          </w:tcPr>
          <w:p w14:paraId="21C2A84F" w14:textId="77777777" w:rsidR="009849AC" w:rsidRPr="00837D4A" w:rsidRDefault="009849AC" w:rsidP="009849AC">
            <w:pPr>
              <w:pStyle w:val="Texto"/>
              <w:spacing w:after="84"/>
              <w:ind w:firstLine="0"/>
              <w:rPr>
                <w:rFonts w:ascii="Verdana" w:hAnsi="Verdana"/>
                <w:b/>
                <w:sz w:val="16"/>
                <w:szCs w:val="16"/>
                <w:lang w:val="es"/>
              </w:rPr>
            </w:pPr>
            <w:r w:rsidRPr="00837D4A">
              <w:rPr>
                <w:rFonts w:ascii="Verdana" w:hAnsi="Verdana"/>
                <w:b/>
                <w:sz w:val="16"/>
                <w:szCs w:val="16"/>
                <w:lang w:val="es"/>
              </w:rPr>
              <w:t>II.</w:t>
            </w:r>
            <w:r w:rsidRPr="00837D4A">
              <w:rPr>
                <w:rFonts w:ascii="Verdana" w:hAnsi="Verdana"/>
                <w:b/>
                <w:sz w:val="16"/>
                <w:szCs w:val="16"/>
                <w:lang w:val="es"/>
              </w:rPr>
              <w:tab/>
            </w:r>
            <w:r w:rsidRPr="00837D4A">
              <w:rPr>
                <w:rFonts w:ascii="Verdana" w:hAnsi="Verdana"/>
                <w:sz w:val="16"/>
                <w:szCs w:val="16"/>
              </w:rPr>
              <w:t xml:space="preserve">Cuando </w:t>
            </w:r>
            <w:r w:rsidRPr="00837D4A">
              <w:rPr>
                <w:rFonts w:ascii="Verdana" w:hAnsi="Verdana"/>
                <w:sz w:val="16"/>
                <w:szCs w:val="16"/>
                <w:lang w:val="es"/>
              </w:rPr>
              <w:t xml:space="preserve">la conducta u omisión infractora constituya un delito o derive de la realización de </w:t>
            </w:r>
            <w:r w:rsidRPr="00837D4A">
              <w:rPr>
                <w:rFonts w:ascii="Verdana" w:hAnsi="Verdana"/>
                <w:sz w:val="16"/>
                <w:szCs w:val="16"/>
              </w:rPr>
              <w:t>actividades ilícitas en términos de la legislación aplicable;</w:t>
            </w:r>
          </w:p>
        </w:tc>
        <w:tc>
          <w:tcPr>
            <w:tcW w:w="4649" w:type="dxa"/>
          </w:tcPr>
          <w:p w14:paraId="4A2DF4C9" w14:textId="64C337D3"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When the offending conduct or omission constitutes a crime or results from the performance of illegal activities under the applicable legislation;</w:t>
            </w:r>
          </w:p>
        </w:tc>
      </w:tr>
      <w:tr w:rsidR="009849AC" w:rsidRPr="009E69D6" w14:paraId="6F86585F" w14:textId="6014A387" w:rsidTr="00F867DE">
        <w:tc>
          <w:tcPr>
            <w:tcW w:w="4711" w:type="dxa"/>
          </w:tcPr>
          <w:p w14:paraId="2ABEA9D7" w14:textId="77777777" w:rsidR="009849AC" w:rsidRPr="00837D4A" w:rsidRDefault="009849AC" w:rsidP="009849AC">
            <w:pPr>
              <w:pStyle w:val="Texto"/>
              <w:spacing w:after="84"/>
              <w:ind w:firstLine="0"/>
              <w:rPr>
                <w:rFonts w:ascii="Verdana" w:hAnsi="Verdana"/>
                <w:b/>
                <w:sz w:val="16"/>
                <w:szCs w:val="16"/>
                <w:lang w:val="es"/>
              </w:rPr>
            </w:pPr>
            <w:r w:rsidRPr="00837D4A">
              <w:rPr>
                <w:rFonts w:ascii="Verdana" w:hAnsi="Verdana"/>
                <w:b/>
                <w:sz w:val="16"/>
                <w:szCs w:val="16"/>
                <w:lang w:val="es"/>
              </w:rPr>
              <w:t>III.</w:t>
            </w:r>
            <w:r w:rsidRPr="00837D4A">
              <w:rPr>
                <w:rFonts w:ascii="Verdana" w:hAnsi="Verdana"/>
                <w:b/>
                <w:sz w:val="16"/>
                <w:szCs w:val="16"/>
                <w:lang w:val="es"/>
              </w:rPr>
              <w:tab/>
            </w:r>
            <w:r w:rsidRPr="00837D4A">
              <w:rPr>
                <w:rFonts w:ascii="Verdana" w:hAnsi="Verdana"/>
                <w:sz w:val="16"/>
                <w:szCs w:val="16"/>
                <w:lang w:val="es"/>
              </w:rPr>
              <w:t>Cuando se realice alguna de las actividades que prevé el artículo 3 de la Ley, sin contar con el permiso, Autorización o aprobación correspondiente por parte de la Secretaría o la Comisión;</w:t>
            </w:r>
          </w:p>
        </w:tc>
        <w:tc>
          <w:tcPr>
            <w:tcW w:w="4649" w:type="dxa"/>
          </w:tcPr>
          <w:p w14:paraId="12D24A16" w14:textId="43FF6C2E"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When any of the activities provided for in Article 3 of the Law are carried out without the corresponding permission, authorization or approval from the Secretary or the Commission;</w:t>
            </w:r>
          </w:p>
        </w:tc>
      </w:tr>
      <w:tr w:rsidR="009849AC" w:rsidRPr="009E69D6" w14:paraId="648DD7A4" w14:textId="2870F1E1" w:rsidTr="00F867DE">
        <w:tc>
          <w:tcPr>
            <w:tcW w:w="4711" w:type="dxa"/>
          </w:tcPr>
          <w:p w14:paraId="0FF9285B" w14:textId="77777777" w:rsidR="009849AC" w:rsidRPr="00837D4A" w:rsidRDefault="009849AC" w:rsidP="009849AC">
            <w:pPr>
              <w:pStyle w:val="Texto"/>
              <w:spacing w:after="84"/>
              <w:ind w:firstLine="0"/>
              <w:rPr>
                <w:rFonts w:ascii="Verdana" w:hAnsi="Verdana"/>
                <w:b/>
                <w:sz w:val="16"/>
                <w:szCs w:val="16"/>
                <w:lang w:val="es"/>
              </w:rPr>
            </w:pPr>
            <w:r w:rsidRPr="00837D4A">
              <w:rPr>
                <w:rFonts w:ascii="Verdana" w:hAnsi="Verdana"/>
                <w:b/>
                <w:sz w:val="16"/>
                <w:szCs w:val="16"/>
                <w:lang w:val="es"/>
              </w:rPr>
              <w:t>IV.</w:t>
            </w:r>
            <w:r w:rsidRPr="00837D4A">
              <w:rPr>
                <w:rFonts w:ascii="Verdana" w:hAnsi="Verdana"/>
                <w:b/>
                <w:sz w:val="16"/>
                <w:szCs w:val="16"/>
                <w:lang w:val="es"/>
              </w:rPr>
              <w:tab/>
            </w:r>
            <w:r w:rsidRPr="00837D4A">
              <w:rPr>
                <w:rFonts w:ascii="Verdana" w:hAnsi="Verdana"/>
                <w:sz w:val="16"/>
                <w:szCs w:val="16"/>
              </w:rPr>
              <w:t>Cuando la persona</w:t>
            </w:r>
            <w:r w:rsidRPr="00837D4A">
              <w:rPr>
                <w:rFonts w:ascii="Verdana" w:hAnsi="Verdana"/>
                <w:sz w:val="16"/>
                <w:szCs w:val="16"/>
                <w:lang w:val="es"/>
              </w:rPr>
              <w:t xml:space="preserve"> presuntamente infractora,</w:t>
            </w:r>
            <w:r w:rsidRPr="00837D4A">
              <w:rPr>
                <w:rFonts w:ascii="Verdana" w:hAnsi="Verdana"/>
                <w:sz w:val="16"/>
                <w:szCs w:val="16"/>
              </w:rPr>
              <w:t xml:space="preserve"> se haya negado a la práctica de una visita de verificación o a la ejecución de un procedimiento de verificación mediante requerimientos y comparecencias, ya sea que no presente la información requerida o no comparezca ante la autoridad que la haya citado, </w:t>
            </w:r>
            <w:r w:rsidRPr="00837D4A">
              <w:rPr>
                <w:rFonts w:ascii="Verdana" w:hAnsi="Verdana"/>
                <w:sz w:val="16"/>
                <w:szCs w:val="16"/>
                <w:lang w:val="es"/>
              </w:rPr>
              <w:t>en los plazos y modalidades en que sea requerida, y</w:t>
            </w:r>
          </w:p>
        </w:tc>
        <w:tc>
          <w:tcPr>
            <w:tcW w:w="4649" w:type="dxa"/>
          </w:tcPr>
          <w:p w14:paraId="0FFC0DF2" w14:textId="5B79A91D"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When the alleged offender has refused to carry out a verification visit or to carry out a verification procedure through requests and appearances, either by not presenting the required information or by not appearing before the authority that summoned him, within the time periods and in the manner in which he is required, and</w:t>
            </w:r>
          </w:p>
        </w:tc>
      </w:tr>
      <w:tr w:rsidR="009849AC" w:rsidRPr="009E69D6" w14:paraId="1A6C5D80" w14:textId="53AFC226" w:rsidTr="00F867DE">
        <w:tc>
          <w:tcPr>
            <w:tcW w:w="4711" w:type="dxa"/>
          </w:tcPr>
          <w:p w14:paraId="30968B57" w14:textId="77777777" w:rsidR="009849AC" w:rsidRPr="00837D4A" w:rsidRDefault="009849AC" w:rsidP="009849AC">
            <w:pPr>
              <w:pStyle w:val="Texto"/>
              <w:spacing w:after="84"/>
              <w:ind w:firstLine="0"/>
              <w:rPr>
                <w:rFonts w:ascii="Verdana" w:hAnsi="Verdana"/>
                <w:sz w:val="16"/>
                <w:szCs w:val="16"/>
                <w:lang w:val="es"/>
              </w:rPr>
            </w:pPr>
            <w:r w:rsidRPr="00837D4A">
              <w:rPr>
                <w:rFonts w:ascii="Verdana" w:hAnsi="Verdana"/>
                <w:b/>
                <w:sz w:val="16"/>
                <w:szCs w:val="16"/>
                <w:lang w:val="es"/>
              </w:rPr>
              <w:t>V.</w:t>
            </w:r>
            <w:r w:rsidRPr="00837D4A">
              <w:rPr>
                <w:rFonts w:ascii="Verdana" w:hAnsi="Verdana"/>
                <w:b/>
                <w:sz w:val="16"/>
                <w:szCs w:val="16"/>
                <w:lang w:val="es"/>
              </w:rPr>
              <w:tab/>
            </w:r>
            <w:r w:rsidRPr="00837D4A">
              <w:rPr>
                <w:rFonts w:ascii="Verdana" w:hAnsi="Verdana"/>
                <w:sz w:val="16"/>
                <w:szCs w:val="16"/>
                <w:lang w:val="es"/>
              </w:rPr>
              <w:t>Cuando la presunta persona infractora no subsane los incumplimientos que se hayan detectado dentro de cualquiera de los procedimientos de verificación, en los plazos otorgados  para tal efecto.</w:t>
            </w:r>
          </w:p>
        </w:tc>
        <w:tc>
          <w:tcPr>
            <w:tcW w:w="4649" w:type="dxa"/>
          </w:tcPr>
          <w:p w14:paraId="18B7FF5A" w14:textId="6559AE27" w:rsidR="009849AC" w:rsidRPr="00837D4A" w:rsidRDefault="009849AC" w:rsidP="009849AC">
            <w:pPr>
              <w:pStyle w:val="Texto"/>
              <w:spacing w:after="84"/>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When the alleged offender does not correct the non-compliance detected within any of the verification procedures within the time limits granted for this purpose.</w:t>
            </w:r>
          </w:p>
        </w:tc>
      </w:tr>
      <w:tr w:rsidR="009849AC" w:rsidRPr="009E69D6" w14:paraId="5882B599" w14:textId="65CBE77A" w:rsidTr="00F867DE">
        <w:tc>
          <w:tcPr>
            <w:tcW w:w="4711" w:type="dxa"/>
          </w:tcPr>
          <w:p w14:paraId="4A4BC99F" w14:textId="77777777" w:rsidR="009849AC" w:rsidRPr="00837D4A" w:rsidRDefault="009849AC" w:rsidP="009849AC">
            <w:pPr>
              <w:pStyle w:val="Texto"/>
              <w:spacing w:after="84"/>
              <w:ind w:firstLine="0"/>
              <w:rPr>
                <w:rFonts w:ascii="Verdana" w:hAnsi="Verdana"/>
                <w:sz w:val="16"/>
                <w:szCs w:val="16"/>
                <w:lang w:val="es"/>
              </w:rPr>
            </w:pPr>
            <w:r w:rsidRPr="00837D4A">
              <w:rPr>
                <w:rFonts w:ascii="Verdana" w:hAnsi="Verdana"/>
                <w:sz w:val="16"/>
                <w:szCs w:val="16"/>
                <w:lang w:val="es"/>
              </w:rPr>
              <w:t>La aplicación de estos mecanismos debe realizarse dentro del procedimiento administrativo de sanción y hasta antes de que se emita la resolución que ponga fin al mismo, siempre y cuando se satisfaga lo establecido en el presente reglamento y la Normatividad que para tal efecto emitan la Secretaría y la Comisión, en sus respectivos ámbitos de competencia.</w:t>
            </w:r>
          </w:p>
        </w:tc>
        <w:tc>
          <w:tcPr>
            <w:tcW w:w="4649" w:type="dxa"/>
          </w:tcPr>
          <w:p w14:paraId="5A7C0D9C" w14:textId="7DF4FBB8" w:rsidR="009849AC" w:rsidRPr="00837D4A" w:rsidRDefault="009849AC" w:rsidP="009849AC">
            <w:pPr>
              <w:pStyle w:val="Texto"/>
              <w:spacing w:after="84"/>
              <w:ind w:firstLine="0"/>
              <w:rPr>
                <w:rFonts w:ascii="Verdana" w:hAnsi="Verdana"/>
                <w:sz w:val="16"/>
                <w:szCs w:val="16"/>
                <w:lang w:val="en-US"/>
              </w:rPr>
            </w:pPr>
            <w:r w:rsidRPr="00837D4A">
              <w:rPr>
                <w:rFonts w:ascii="Verdana" w:hAnsi="Verdana"/>
                <w:sz w:val="16"/>
                <w:szCs w:val="16"/>
                <w:lang w:val="en-US"/>
              </w:rPr>
              <w:t>These mechanisms must be applied within the administrative sanctioning procedure and before the resolution concluding the procedure is issued, provided that the provisions of this Regulation and the Legislation issued for this purpose by the Secretary and the Commission, within their respective areas of competence, are met.</w:t>
            </w:r>
          </w:p>
        </w:tc>
      </w:tr>
      <w:tr w:rsidR="009849AC" w:rsidRPr="009E69D6" w14:paraId="5035056A" w14:textId="6422EECA" w:rsidTr="00F867DE">
        <w:tc>
          <w:tcPr>
            <w:tcW w:w="4711" w:type="dxa"/>
          </w:tcPr>
          <w:p w14:paraId="297D8A72" w14:textId="77777777" w:rsidR="009849AC" w:rsidRPr="00837D4A" w:rsidRDefault="009849AC" w:rsidP="009849AC">
            <w:pPr>
              <w:pStyle w:val="Texto"/>
              <w:spacing w:after="84"/>
              <w:ind w:firstLine="0"/>
              <w:rPr>
                <w:rFonts w:ascii="Verdana" w:hAnsi="Verdana"/>
                <w:sz w:val="16"/>
                <w:szCs w:val="16"/>
              </w:rPr>
            </w:pPr>
            <w:r w:rsidRPr="00837D4A">
              <w:rPr>
                <w:rFonts w:ascii="Verdana" w:hAnsi="Verdana"/>
                <w:sz w:val="16"/>
                <w:szCs w:val="16"/>
              </w:rPr>
              <w:t>En todo caso, la implementación de los mecanismos debe suspender los plazos de caducidad del procedimiento administrativo de sanción, desde que sea solicitado por la presunta persona infractora y hasta en tanto se dicte resolución por la Secretaría o la Comisión, en la que determine si resultó aplicable el mecanismo solicitado, si la presunta persona infractora reparó el daño, implementó las medidas de no repetición de la conducta u omisión, o bien, presentó la información requerida a efecto de regularizar los incumplimientos imputados.</w:t>
            </w:r>
          </w:p>
        </w:tc>
        <w:tc>
          <w:tcPr>
            <w:tcW w:w="4649" w:type="dxa"/>
          </w:tcPr>
          <w:p w14:paraId="2B2FA269" w14:textId="5F0712DC" w:rsidR="009849AC" w:rsidRPr="00837D4A" w:rsidRDefault="009849AC" w:rsidP="009849AC">
            <w:pPr>
              <w:pStyle w:val="Texto"/>
              <w:spacing w:after="84"/>
              <w:ind w:firstLine="0"/>
              <w:rPr>
                <w:rFonts w:ascii="Verdana" w:hAnsi="Verdana"/>
                <w:sz w:val="16"/>
                <w:szCs w:val="16"/>
                <w:lang w:val="en-US"/>
              </w:rPr>
            </w:pPr>
            <w:r w:rsidRPr="00837D4A">
              <w:rPr>
                <w:rFonts w:ascii="Verdana" w:hAnsi="Verdana"/>
                <w:sz w:val="16"/>
                <w:szCs w:val="16"/>
                <w:lang w:val="en-US"/>
              </w:rPr>
              <w:t>In any case, the implementation of the mechanisms must suspend the expiration periods of the administrative sanction procedure, from the moment it is requested by the alleged offender and until a resolution is issued by the Secretary or the Commission, determining whether the requested mechanism was applicable, whether the alleged offender repaired the damage, implemented measures to prevent repetition of the conduct or omission, or submitted the information required to regularize the alleged non-compliance.</w:t>
            </w:r>
          </w:p>
        </w:tc>
      </w:tr>
      <w:tr w:rsidR="009849AC" w:rsidRPr="009E69D6" w14:paraId="1245BB30" w14:textId="5D76669E" w:rsidTr="00F867DE">
        <w:tc>
          <w:tcPr>
            <w:tcW w:w="4711" w:type="dxa"/>
          </w:tcPr>
          <w:p w14:paraId="1D1D90B9" w14:textId="77777777" w:rsidR="009849AC" w:rsidRPr="00837D4A" w:rsidRDefault="009849AC" w:rsidP="009849AC">
            <w:pPr>
              <w:pStyle w:val="Texto"/>
              <w:spacing w:line="224" w:lineRule="exact"/>
              <w:ind w:firstLine="0"/>
              <w:rPr>
                <w:rFonts w:ascii="Verdana" w:hAnsi="Verdana"/>
                <w:sz w:val="16"/>
                <w:szCs w:val="16"/>
                <w:lang w:val="es"/>
              </w:rPr>
            </w:pPr>
            <w:r w:rsidRPr="00837D4A">
              <w:rPr>
                <w:rFonts w:ascii="Verdana" w:hAnsi="Verdana"/>
                <w:b/>
                <w:sz w:val="16"/>
                <w:szCs w:val="16"/>
              </w:rPr>
              <w:t>Artículo 304.</w:t>
            </w:r>
            <w:r w:rsidRPr="00837D4A">
              <w:rPr>
                <w:rFonts w:ascii="Verdana" w:hAnsi="Verdana"/>
                <w:sz w:val="16"/>
                <w:szCs w:val="16"/>
                <w:lang w:val="es"/>
              </w:rPr>
              <w:t xml:space="preserve"> En la Normatividad que para tal efecto emitan la Secretaría o la Comisión, en el ámbito de sus atribuciones, se debe establecer entre otros, el procedimiento para la determinación, ejecución y </w:t>
            </w:r>
            <w:r w:rsidRPr="00837D4A">
              <w:rPr>
                <w:rFonts w:ascii="Verdana" w:hAnsi="Verdana"/>
                <w:sz w:val="16"/>
                <w:szCs w:val="16"/>
                <w:lang w:val="es"/>
              </w:rPr>
              <w:lastRenderedPageBreak/>
              <w:t>evaluación en la implementación del mecanismo al que se refiere el artículo anterior.</w:t>
            </w:r>
          </w:p>
        </w:tc>
        <w:tc>
          <w:tcPr>
            <w:tcW w:w="4649" w:type="dxa"/>
          </w:tcPr>
          <w:p w14:paraId="224B9863" w14:textId="03F312CE"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304. </w:t>
            </w:r>
            <w:r w:rsidRPr="00837D4A">
              <w:rPr>
                <w:rFonts w:ascii="Verdana" w:hAnsi="Verdana"/>
                <w:sz w:val="16"/>
                <w:szCs w:val="16"/>
                <w:lang w:val="en-US"/>
              </w:rPr>
              <w:t xml:space="preserve">The Legislation issued for this purpose by the Secretary or the Commission, within the scope of their powers, must establish, among other things, the procedure for the determination, execution and </w:t>
            </w:r>
            <w:r w:rsidRPr="00837D4A">
              <w:rPr>
                <w:rFonts w:ascii="Verdana" w:hAnsi="Verdana"/>
                <w:sz w:val="16"/>
                <w:szCs w:val="16"/>
                <w:lang w:val="en-US"/>
              </w:rPr>
              <w:lastRenderedPageBreak/>
              <w:t>evaluation in the implementation of the mechanism referred to in the preceding article.</w:t>
            </w:r>
          </w:p>
        </w:tc>
      </w:tr>
      <w:tr w:rsidR="009849AC" w:rsidRPr="00D0180E" w14:paraId="3EF39F77" w14:textId="4921D166" w:rsidTr="00F867DE">
        <w:tc>
          <w:tcPr>
            <w:tcW w:w="4711" w:type="dxa"/>
          </w:tcPr>
          <w:p w14:paraId="182AD9D6" w14:textId="77777777" w:rsidR="009849AC" w:rsidRPr="00837D4A" w:rsidRDefault="009849AC" w:rsidP="009849AC">
            <w:pPr>
              <w:pStyle w:val="Texto"/>
              <w:spacing w:line="228" w:lineRule="exact"/>
              <w:ind w:firstLine="0"/>
              <w:jc w:val="center"/>
              <w:rPr>
                <w:rFonts w:ascii="Verdana" w:hAnsi="Verdana"/>
                <w:sz w:val="16"/>
                <w:szCs w:val="16"/>
                <w:lang w:val="es"/>
              </w:rPr>
            </w:pPr>
            <w:r w:rsidRPr="00837D4A">
              <w:rPr>
                <w:rFonts w:ascii="Verdana" w:hAnsi="Verdana"/>
                <w:b/>
                <w:sz w:val="16"/>
                <w:szCs w:val="16"/>
                <w:lang w:val="es"/>
              </w:rPr>
              <w:lastRenderedPageBreak/>
              <w:t>TÍTULO NOVENO</w:t>
            </w:r>
          </w:p>
        </w:tc>
        <w:tc>
          <w:tcPr>
            <w:tcW w:w="4649" w:type="dxa"/>
          </w:tcPr>
          <w:p w14:paraId="316B222D" w14:textId="349D709D" w:rsidR="009849AC" w:rsidRPr="00837D4A" w:rsidRDefault="009849AC" w:rsidP="009849AC">
            <w:pPr>
              <w:pStyle w:val="Texto"/>
              <w:spacing w:line="228" w:lineRule="exact"/>
              <w:ind w:firstLine="0"/>
              <w:jc w:val="center"/>
              <w:rPr>
                <w:rFonts w:ascii="Verdana" w:hAnsi="Verdana"/>
                <w:b/>
                <w:sz w:val="16"/>
                <w:szCs w:val="16"/>
                <w:lang w:val="en-US"/>
              </w:rPr>
            </w:pPr>
            <w:r w:rsidRPr="00837D4A">
              <w:rPr>
                <w:rFonts w:ascii="Verdana" w:hAnsi="Verdana"/>
                <w:b/>
                <w:sz w:val="16"/>
                <w:szCs w:val="16"/>
                <w:lang w:val="es"/>
              </w:rPr>
              <w:t xml:space="preserve">NINTH TITLE </w:t>
            </w:r>
          </w:p>
        </w:tc>
      </w:tr>
      <w:tr w:rsidR="009849AC" w:rsidRPr="00D0180E" w14:paraId="6AFCEF30" w14:textId="760AF64E" w:rsidTr="00F867DE">
        <w:tc>
          <w:tcPr>
            <w:tcW w:w="4711" w:type="dxa"/>
          </w:tcPr>
          <w:p w14:paraId="23395EF7" w14:textId="77777777" w:rsidR="009849AC" w:rsidRPr="00837D4A" w:rsidRDefault="009849AC" w:rsidP="009849AC">
            <w:pPr>
              <w:pStyle w:val="Texto"/>
              <w:spacing w:line="228" w:lineRule="exact"/>
              <w:ind w:firstLine="0"/>
              <w:jc w:val="center"/>
              <w:rPr>
                <w:rFonts w:ascii="Verdana" w:hAnsi="Verdana"/>
                <w:b/>
                <w:sz w:val="16"/>
                <w:szCs w:val="16"/>
                <w:lang w:val="es"/>
              </w:rPr>
            </w:pPr>
            <w:r w:rsidRPr="00837D4A">
              <w:rPr>
                <w:rFonts w:ascii="Verdana" w:hAnsi="Verdana"/>
                <w:b/>
                <w:sz w:val="16"/>
                <w:szCs w:val="16"/>
                <w:lang w:val="es"/>
              </w:rPr>
              <w:t>OTRAS DISPOSICIONES</w:t>
            </w:r>
          </w:p>
        </w:tc>
        <w:tc>
          <w:tcPr>
            <w:tcW w:w="4649" w:type="dxa"/>
          </w:tcPr>
          <w:p w14:paraId="1D980600" w14:textId="39270C83" w:rsidR="009849AC" w:rsidRPr="00837D4A" w:rsidRDefault="009849AC" w:rsidP="009849AC">
            <w:pPr>
              <w:pStyle w:val="Texto"/>
              <w:spacing w:line="228" w:lineRule="exact"/>
              <w:ind w:firstLine="0"/>
              <w:jc w:val="center"/>
              <w:rPr>
                <w:rFonts w:ascii="Verdana" w:hAnsi="Verdana"/>
                <w:b/>
                <w:sz w:val="16"/>
                <w:szCs w:val="16"/>
                <w:lang w:val="en-US"/>
              </w:rPr>
            </w:pPr>
            <w:r w:rsidRPr="00837D4A">
              <w:rPr>
                <w:rFonts w:ascii="Verdana" w:hAnsi="Verdana"/>
                <w:b/>
                <w:sz w:val="16"/>
                <w:szCs w:val="16"/>
                <w:lang w:val="es"/>
              </w:rPr>
              <w:t>OTHER PROVISIONS</w:t>
            </w:r>
          </w:p>
        </w:tc>
      </w:tr>
      <w:tr w:rsidR="009849AC" w:rsidRPr="00D0180E" w14:paraId="7B3CA265" w14:textId="6C2AE49F" w:rsidTr="00F867DE">
        <w:tc>
          <w:tcPr>
            <w:tcW w:w="4711" w:type="dxa"/>
          </w:tcPr>
          <w:p w14:paraId="0470ECE4" w14:textId="77777777" w:rsidR="009849AC" w:rsidRPr="00837D4A" w:rsidRDefault="009849AC" w:rsidP="009849AC">
            <w:pPr>
              <w:pStyle w:val="Texto"/>
              <w:spacing w:line="228" w:lineRule="exact"/>
              <w:ind w:firstLine="0"/>
              <w:jc w:val="center"/>
              <w:rPr>
                <w:rFonts w:ascii="Verdana" w:hAnsi="Verdana"/>
                <w:b/>
                <w:sz w:val="16"/>
                <w:szCs w:val="16"/>
              </w:rPr>
            </w:pPr>
            <w:r w:rsidRPr="00837D4A">
              <w:rPr>
                <w:rFonts w:ascii="Verdana" w:hAnsi="Verdana"/>
                <w:b/>
                <w:sz w:val="16"/>
                <w:szCs w:val="16"/>
              </w:rPr>
              <w:t>Capí</w:t>
            </w:r>
            <w:proofErr w:type="spellStart"/>
            <w:r w:rsidRPr="00837D4A">
              <w:rPr>
                <w:rFonts w:ascii="Verdana" w:hAnsi="Verdana"/>
                <w:b/>
                <w:sz w:val="16"/>
                <w:szCs w:val="16"/>
                <w:lang w:val="es"/>
              </w:rPr>
              <w:t>tulo</w:t>
            </w:r>
            <w:proofErr w:type="spellEnd"/>
            <w:r w:rsidRPr="00837D4A">
              <w:rPr>
                <w:rFonts w:ascii="Verdana" w:hAnsi="Verdana"/>
                <w:b/>
                <w:sz w:val="16"/>
                <w:szCs w:val="16"/>
              </w:rPr>
              <w:t xml:space="preserve"> I</w:t>
            </w:r>
          </w:p>
        </w:tc>
        <w:tc>
          <w:tcPr>
            <w:tcW w:w="4649" w:type="dxa"/>
          </w:tcPr>
          <w:p w14:paraId="4491918F" w14:textId="2A17DF73" w:rsidR="009849AC" w:rsidRPr="00837D4A" w:rsidRDefault="009849AC" w:rsidP="009849AC">
            <w:pPr>
              <w:pStyle w:val="Texto"/>
              <w:spacing w:line="228"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w:t>
            </w:r>
            <w:r w:rsidRPr="00837D4A">
              <w:rPr>
                <w:rFonts w:ascii="Verdana" w:hAnsi="Verdana"/>
                <w:b/>
                <w:sz w:val="16"/>
                <w:szCs w:val="16"/>
                <w:lang w:val="es"/>
              </w:rPr>
              <w:t>I</w:t>
            </w:r>
            <w:r w:rsidRPr="00837D4A">
              <w:rPr>
                <w:b/>
                <w:sz w:val="16"/>
                <w:szCs w:val="16"/>
              </w:rPr>
              <w:t>​</w:t>
            </w:r>
          </w:p>
        </w:tc>
      </w:tr>
      <w:tr w:rsidR="009849AC" w:rsidRPr="009E69D6" w14:paraId="023BF676" w14:textId="1F8A0713" w:rsidTr="00F867DE">
        <w:tc>
          <w:tcPr>
            <w:tcW w:w="4711" w:type="dxa"/>
          </w:tcPr>
          <w:p w14:paraId="602EE60A" w14:textId="77777777" w:rsidR="009849AC" w:rsidRPr="00837D4A" w:rsidRDefault="009849AC" w:rsidP="009849AC">
            <w:pPr>
              <w:pStyle w:val="Texto"/>
              <w:spacing w:line="228" w:lineRule="exact"/>
              <w:ind w:firstLine="0"/>
              <w:jc w:val="center"/>
              <w:rPr>
                <w:rFonts w:ascii="Verdana" w:hAnsi="Verdana"/>
                <w:b/>
                <w:sz w:val="16"/>
                <w:szCs w:val="16"/>
                <w:lang w:val="es"/>
              </w:rPr>
            </w:pPr>
            <w:r w:rsidRPr="00837D4A">
              <w:rPr>
                <w:rFonts w:ascii="Verdana" w:hAnsi="Verdana"/>
                <w:b/>
                <w:sz w:val="16"/>
                <w:szCs w:val="16"/>
                <w:lang w:val="es"/>
              </w:rPr>
              <w:t>De la Ocupación Temporal y la Intervención</w:t>
            </w:r>
          </w:p>
        </w:tc>
        <w:tc>
          <w:tcPr>
            <w:tcW w:w="4649" w:type="dxa"/>
          </w:tcPr>
          <w:p w14:paraId="0D3E1B81" w14:textId="1DCA6D48" w:rsidR="009849AC" w:rsidRPr="00837D4A" w:rsidRDefault="009849AC" w:rsidP="009849AC">
            <w:pPr>
              <w:pStyle w:val="Texto"/>
              <w:spacing w:line="228" w:lineRule="exact"/>
              <w:ind w:firstLine="0"/>
              <w:jc w:val="center"/>
              <w:rPr>
                <w:rFonts w:ascii="Verdana" w:hAnsi="Verdana"/>
                <w:b/>
                <w:sz w:val="16"/>
                <w:szCs w:val="16"/>
                <w:lang w:val="en-US"/>
              </w:rPr>
            </w:pPr>
            <w:r w:rsidRPr="00837D4A">
              <w:rPr>
                <w:rFonts w:ascii="Verdana" w:hAnsi="Verdana"/>
                <w:b/>
                <w:sz w:val="16"/>
                <w:szCs w:val="16"/>
                <w:lang w:val="en-US"/>
              </w:rPr>
              <w:t>Temporary Occupation and Intervention</w:t>
            </w:r>
          </w:p>
        </w:tc>
      </w:tr>
      <w:tr w:rsidR="009849AC" w:rsidRPr="009E69D6" w14:paraId="080B5A04" w14:textId="22B1CECD" w:rsidTr="00F867DE">
        <w:tc>
          <w:tcPr>
            <w:tcW w:w="4711" w:type="dxa"/>
          </w:tcPr>
          <w:p w14:paraId="516AC4C3"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Artículo 305.</w:t>
            </w:r>
            <w:r w:rsidRPr="00837D4A">
              <w:rPr>
                <w:rFonts w:ascii="Verdana" w:hAnsi="Verdana"/>
                <w:sz w:val="16"/>
                <w:szCs w:val="16"/>
              </w:rPr>
              <w:t xml:space="preserve"> Para los efectos del artículo 90 de la Ley, la Secretaría o la Comisión en el ámbito de sus competencias, pueden llevar a cabo la ocupación temporal o la intervención respecto de las actividades que requieren permiso de acuerdo con la Ley, este reglamento y demás Normatividad aplicable, a fin de garantizar los intereses de la Nación.</w:t>
            </w:r>
          </w:p>
        </w:tc>
        <w:tc>
          <w:tcPr>
            <w:tcW w:w="4649" w:type="dxa"/>
          </w:tcPr>
          <w:p w14:paraId="1A574506" w14:textId="4ACE53E5"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305. </w:t>
            </w:r>
            <w:r w:rsidRPr="00837D4A">
              <w:rPr>
                <w:rFonts w:ascii="Verdana" w:hAnsi="Verdana"/>
                <w:sz w:val="16"/>
                <w:szCs w:val="16"/>
                <w:lang w:val="en-US"/>
              </w:rPr>
              <w:t>For the purposes of Article 90 of the Law, the Secretary or the Commission, within the scope of their powers, may carry out temporary occupation or intervention in activities that require a permit in accordance with the Law, this regulation and other applicable legislation, in order to guarantee the interests of the Nation.</w:t>
            </w:r>
          </w:p>
        </w:tc>
      </w:tr>
      <w:tr w:rsidR="009849AC" w:rsidRPr="009E69D6" w14:paraId="4218B194" w14:textId="20FFB3A6" w:rsidTr="00F867DE">
        <w:tc>
          <w:tcPr>
            <w:tcW w:w="4711" w:type="dxa"/>
          </w:tcPr>
          <w:p w14:paraId="36890885" w14:textId="77777777" w:rsidR="009849AC" w:rsidRPr="00837D4A" w:rsidRDefault="009849AC" w:rsidP="009849AC">
            <w:pPr>
              <w:pStyle w:val="Texto"/>
              <w:spacing w:line="228" w:lineRule="exact"/>
              <w:ind w:firstLine="0"/>
              <w:rPr>
                <w:rFonts w:ascii="Verdana" w:hAnsi="Verdana"/>
                <w:sz w:val="16"/>
                <w:szCs w:val="16"/>
                <w:lang w:val="es"/>
              </w:rPr>
            </w:pPr>
            <w:r w:rsidRPr="00837D4A">
              <w:rPr>
                <w:rFonts w:ascii="Verdana" w:hAnsi="Verdana"/>
                <w:sz w:val="16"/>
                <w:szCs w:val="16"/>
              </w:rPr>
              <w:t xml:space="preserve">La Secretaría o la Comisión, según corresponda, </w:t>
            </w:r>
            <w:r w:rsidRPr="00837D4A">
              <w:rPr>
                <w:rFonts w:ascii="Verdana" w:hAnsi="Verdana"/>
                <w:sz w:val="16"/>
                <w:szCs w:val="16"/>
                <w:lang w:val="es"/>
              </w:rPr>
              <w:t>deben procurar, en todo momento, la continuidad de la operación de las actividades que amparan los permisos que se encuentren sujetos a ocupación temporal o intervención.</w:t>
            </w:r>
          </w:p>
        </w:tc>
        <w:tc>
          <w:tcPr>
            <w:tcW w:w="4649" w:type="dxa"/>
          </w:tcPr>
          <w:p w14:paraId="0C9BB130" w14:textId="3CF9B921" w:rsidR="009849AC" w:rsidRPr="00837D4A" w:rsidRDefault="009849AC" w:rsidP="009849AC">
            <w:pPr>
              <w:pStyle w:val="Texto"/>
              <w:spacing w:line="228" w:lineRule="exact"/>
              <w:ind w:firstLine="0"/>
              <w:rPr>
                <w:rFonts w:ascii="Verdana" w:hAnsi="Verdana"/>
                <w:sz w:val="16"/>
                <w:szCs w:val="16"/>
                <w:lang w:val="en-US"/>
              </w:rPr>
            </w:pPr>
            <w:r w:rsidRPr="00837D4A">
              <w:rPr>
                <w:rFonts w:ascii="Verdana" w:hAnsi="Verdana"/>
                <w:sz w:val="16"/>
                <w:szCs w:val="16"/>
                <w:lang w:val="en-US"/>
              </w:rPr>
              <w:t>The Secretary or the Commission, as appropriate, must ensure, at all times, the continued operation of the activities covered by the permits that are subject to temporary occupation or intervention.</w:t>
            </w:r>
          </w:p>
        </w:tc>
      </w:tr>
      <w:tr w:rsidR="009849AC" w:rsidRPr="009E69D6" w14:paraId="5A564034" w14:textId="4BE935A9" w:rsidTr="00F867DE">
        <w:tc>
          <w:tcPr>
            <w:tcW w:w="4711" w:type="dxa"/>
          </w:tcPr>
          <w:p w14:paraId="48615DBF"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Artículo 306.</w:t>
            </w:r>
            <w:r w:rsidRPr="00837D4A">
              <w:rPr>
                <w:rFonts w:ascii="Verdana" w:hAnsi="Verdana"/>
                <w:sz w:val="16"/>
                <w:szCs w:val="16"/>
              </w:rPr>
              <w:t xml:space="preserve"> La ocupación temporal </w:t>
            </w:r>
            <w:r w:rsidRPr="00837D4A">
              <w:rPr>
                <w:rFonts w:ascii="Verdana" w:hAnsi="Verdana"/>
                <w:sz w:val="16"/>
                <w:szCs w:val="16"/>
                <w:lang w:val="es"/>
              </w:rPr>
              <w:t>o</w:t>
            </w:r>
            <w:r w:rsidRPr="00837D4A">
              <w:rPr>
                <w:rFonts w:ascii="Verdana" w:hAnsi="Verdana"/>
                <w:sz w:val="16"/>
                <w:szCs w:val="16"/>
              </w:rPr>
              <w:t xml:space="preserve"> intervención no afectan derechos adquiridos por terceras personas de buena fe relacionados directamente con el permiso, los cuales pueden ser laborales, mercantiles, civiles, entre otros, y se debe procurar la continuidad de sus efectos jurídicos.</w:t>
            </w:r>
          </w:p>
        </w:tc>
        <w:tc>
          <w:tcPr>
            <w:tcW w:w="4649" w:type="dxa"/>
          </w:tcPr>
          <w:p w14:paraId="4CBC6937" w14:textId="4F72760F"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306. </w:t>
            </w:r>
            <w:r w:rsidRPr="00837D4A">
              <w:rPr>
                <w:rFonts w:ascii="Verdana" w:hAnsi="Verdana"/>
                <w:sz w:val="16"/>
                <w:szCs w:val="16"/>
                <w:lang w:val="en-US"/>
              </w:rPr>
              <w:t>Temporary occupation or intervention does not affect rights acquired by third parties in good faith directly related to the permit, which may be labor, commercial, civil, among others, and the continuity of their legal effects must be ensured.</w:t>
            </w:r>
          </w:p>
        </w:tc>
      </w:tr>
      <w:tr w:rsidR="009849AC" w:rsidRPr="009E69D6" w14:paraId="5C4C335D" w14:textId="731D2E21" w:rsidTr="00F867DE">
        <w:tc>
          <w:tcPr>
            <w:tcW w:w="4711" w:type="dxa"/>
          </w:tcPr>
          <w:p w14:paraId="39E9E03C" w14:textId="77777777" w:rsidR="009849AC" w:rsidRPr="00837D4A" w:rsidRDefault="009849AC" w:rsidP="009849AC">
            <w:pPr>
              <w:pStyle w:val="Texto"/>
              <w:spacing w:line="228" w:lineRule="exact"/>
              <w:ind w:firstLine="0"/>
              <w:rPr>
                <w:rFonts w:ascii="Verdana" w:hAnsi="Verdana"/>
                <w:sz w:val="16"/>
                <w:szCs w:val="16"/>
                <w:lang w:val="es"/>
              </w:rPr>
            </w:pPr>
            <w:r w:rsidRPr="00837D4A">
              <w:rPr>
                <w:rFonts w:ascii="Verdana" w:hAnsi="Verdana"/>
                <w:b/>
                <w:sz w:val="16"/>
                <w:szCs w:val="16"/>
                <w:lang w:val="es"/>
              </w:rPr>
              <w:t>Artículo 307.</w:t>
            </w:r>
            <w:r w:rsidRPr="00837D4A">
              <w:rPr>
                <w:rFonts w:ascii="Verdana" w:hAnsi="Verdana"/>
                <w:sz w:val="16"/>
                <w:szCs w:val="16"/>
                <w:lang w:val="es"/>
              </w:rPr>
              <w:t xml:space="preserve"> Para la ocupación temporal o la intervención, la Secretaría o la Comisión, en su caso, deben coordinarse con Petróleos Mexicanos o cualquier autoridad del Gobierno Federal, así como suscribir convenios de colaboración y coordinación con autoridades de los tres órdenes de gobierno que resulten necesarios.</w:t>
            </w:r>
          </w:p>
        </w:tc>
        <w:tc>
          <w:tcPr>
            <w:tcW w:w="4649" w:type="dxa"/>
          </w:tcPr>
          <w:p w14:paraId="417FAF4F" w14:textId="5AF38519"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307. </w:t>
            </w:r>
            <w:r w:rsidRPr="00837D4A">
              <w:rPr>
                <w:rFonts w:ascii="Verdana" w:hAnsi="Verdana"/>
                <w:sz w:val="16"/>
                <w:szCs w:val="16"/>
                <w:lang w:val="en-US"/>
              </w:rPr>
              <w:t>For temporary occupation or intervention, the Secretary or the Commission, as appropriate, must coordinate with Petróleos Mexicanos or any other authority of the Federal Government, as well as sign collaboration and coordination agreements with authorities of the three levels of government that are necessary.</w:t>
            </w:r>
          </w:p>
        </w:tc>
      </w:tr>
      <w:tr w:rsidR="009849AC" w:rsidRPr="009E69D6" w14:paraId="36AEFF16" w14:textId="5A754556" w:rsidTr="00F867DE">
        <w:tc>
          <w:tcPr>
            <w:tcW w:w="4711" w:type="dxa"/>
          </w:tcPr>
          <w:p w14:paraId="725B6141" w14:textId="77777777" w:rsidR="009849AC" w:rsidRPr="00837D4A" w:rsidRDefault="009849AC" w:rsidP="009849AC">
            <w:pPr>
              <w:pStyle w:val="Texto"/>
              <w:spacing w:line="228" w:lineRule="exact"/>
              <w:ind w:firstLine="0"/>
              <w:rPr>
                <w:rFonts w:ascii="Verdana" w:hAnsi="Verdana"/>
                <w:sz w:val="16"/>
                <w:szCs w:val="16"/>
                <w:lang w:val="es"/>
              </w:rPr>
            </w:pPr>
            <w:r w:rsidRPr="00837D4A">
              <w:rPr>
                <w:rFonts w:ascii="Verdana" w:hAnsi="Verdana"/>
                <w:b/>
                <w:sz w:val="16"/>
                <w:szCs w:val="16"/>
                <w:lang w:val="es"/>
              </w:rPr>
              <w:t xml:space="preserve">Artículo 308. </w:t>
            </w:r>
            <w:r w:rsidRPr="00837D4A">
              <w:rPr>
                <w:rFonts w:ascii="Verdana" w:hAnsi="Verdana"/>
                <w:sz w:val="16"/>
                <w:szCs w:val="16"/>
                <w:lang w:val="es"/>
              </w:rPr>
              <w:t>La Secretaría y la Comisión, en el ámbito de sus competencias, pueden emitir la Normatividad respecto de los procedimientos de ocupación temporal y de intervención, así como de la continuidad de las operaciones de las actividades objeto de la ocupación temporal o intervención.</w:t>
            </w:r>
          </w:p>
        </w:tc>
        <w:tc>
          <w:tcPr>
            <w:tcW w:w="4649" w:type="dxa"/>
          </w:tcPr>
          <w:p w14:paraId="5FF1D3B3" w14:textId="56597B51"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308. </w:t>
            </w:r>
            <w:r w:rsidRPr="00837D4A">
              <w:rPr>
                <w:rFonts w:ascii="Verdana" w:hAnsi="Verdana"/>
                <w:sz w:val="16"/>
                <w:szCs w:val="16"/>
                <w:lang w:val="en-US"/>
              </w:rPr>
              <w:t>The Secretary and the Commission, within the scope of their powers, may issue Regulation regarding procedures for temporary occupation and intervention, as well as the continuity of operations of the activities subject to temporary occupation or intervention.</w:t>
            </w:r>
          </w:p>
        </w:tc>
      </w:tr>
      <w:tr w:rsidR="009849AC" w:rsidRPr="00D0180E" w14:paraId="39005BBD" w14:textId="5B53639A" w:rsidTr="00F867DE">
        <w:tc>
          <w:tcPr>
            <w:tcW w:w="4711" w:type="dxa"/>
          </w:tcPr>
          <w:p w14:paraId="727CCE39" w14:textId="77777777" w:rsidR="009849AC" w:rsidRPr="00837D4A" w:rsidRDefault="009849AC" w:rsidP="009849AC">
            <w:pPr>
              <w:pStyle w:val="Texto"/>
              <w:spacing w:line="228" w:lineRule="exact"/>
              <w:ind w:firstLine="0"/>
              <w:jc w:val="center"/>
              <w:rPr>
                <w:rFonts w:ascii="Verdana" w:hAnsi="Verdana"/>
                <w:b/>
                <w:sz w:val="16"/>
                <w:szCs w:val="16"/>
                <w:lang w:val="es"/>
              </w:rPr>
            </w:pPr>
            <w:r w:rsidRPr="00837D4A">
              <w:rPr>
                <w:rFonts w:ascii="Verdana" w:hAnsi="Verdana"/>
                <w:b/>
                <w:sz w:val="16"/>
                <w:szCs w:val="16"/>
              </w:rPr>
              <w:t>Sección Primera</w:t>
            </w:r>
          </w:p>
        </w:tc>
        <w:tc>
          <w:tcPr>
            <w:tcW w:w="4649" w:type="dxa"/>
          </w:tcPr>
          <w:p w14:paraId="2920E22A" w14:textId="6139627A" w:rsidR="009849AC" w:rsidRPr="00837D4A" w:rsidRDefault="009849AC" w:rsidP="009849AC">
            <w:pPr>
              <w:pStyle w:val="Texto"/>
              <w:spacing w:line="228" w:lineRule="exact"/>
              <w:ind w:firstLine="0"/>
              <w:jc w:val="center"/>
              <w:rPr>
                <w:rFonts w:ascii="Verdana" w:hAnsi="Verdana"/>
                <w:b/>
                <w:sz w:val="16"/>
                <w:szCs w:val="16"/>
                <w:lang w:val="en-US"/>
              </w:rPr>
            </w:pPr>
            <w:r w:rsidRPr="00837D4A">
              <w:rPr>
                <w:rFonts w:ascii="Verdana" w:hAnsi="Verdana"/>
                <w:b/>
                <w:sz w:val="16"/>
                <w:szCs w:val="16"/>
                <w:lang w:val="en-US"/>
              </w:rPr>
              <w:t>First Section</w:t>
            </w:r>
          </w:p>
        </w:tc>
      </w:tr>
      <w:tr w:rsidR="009849AC" w:rsidRPr="00D0180E" w14:paraId="008EDE1B" w14:textId="6D912937" w:rsidTr="00F867DE">
        <w:tc>
          <w:tcPr>
            <w:tcW w:w="4711" w:type="dxa"/>
          </w:tcPr>
          <w:p w14:paraId="5DCC4563" w14:textId="77777777" w:rsidR="009849AC" w:rsidRPr="00837D4A" w:rsidRDefault="009849AC" w:rsidP="009849AC">
            <w:pPr>
              <w:pStyle w:val="Texto"/>
              <w:spacing w:line="228" w:lineRule="exact"/>
              <w:ind w:firstLine="0"/>
              <w:jc w:val="center"/>
              <w:rPr>
                <w:rFonts w:ascii="Verdana" w:hAnsi="Verdana"/>
                <w:b/>
                <w:sz w:val="16"/>
                <w:szCs w:val="16"/>
                <w:lang w:val="es"/>
              </w:rPr>
            </w:pPr>
            <w:r w:rsidRPr="00837D4A">
              <w:rPr>
                <w:rFonts w:ascii="Verdana" w:hAnsi="Verdana"/>
                <w:b/>
                <w:sz w:val="16"/>
                <w:szCs w:val="16"/>
                <w:lang w:val="es"/>
              </w:rPr>
              <w:t>De la Ocupación Temporal</w:t>
            </w:r>
          </w:p>
        </w:tc>
        <w:tc>
          <w:tcPr>
            <w:tcW w:w="4649" w:type="dxa"/>
          </w:tcPr>
          <w:p w14:paraId="74E71984" w14:textId="046F9C9B" w:rsidR="009849AC" w:rsidRPr="00837D4A" w:rsidRDefault="009849AC" w:rsidP="009849AC">
            <w:pPr>
              <w:pStyle w:val="Texto"/>
              <w:spacing w:line="228" w:lineRule="exact"/>
              <w:ind w:firstLine="0"/>
              <w:jc w:val="center"/>
              <w:rPr>
                <w:rFonts w:ascii="Verdana" w:hAnsi="Verdana"/>
                <w:b/>
                <w:sz w:val="16"/>
                <w:szCs w:val="16"/>
                <w:lang w:val="en-US"/>
              </w:rPr>
            </w:pPr>
            <w:r w:rsidRPr="00837D4A">
              <w:rPr>
                <w:rFonts w:ascii="Verdana" w:hAnsi="Verdana"/>
                <w:b/>
                <w:sz w:val="16"/>
                <w:szCs w:val="16"/>
                <w:lang w:val="en-US"/>
              </w:rPr>
              <w:t>Temporary Occupation</w:t>
            </w:r>
          </w:p>
        </w:tc>
      </w:tr>
      <w:tr w:rsidR="009849AC" w:rsidRPr="009E69D6" w14:paraId="777FBFDD" w14:textId="60CAC494" w:rsidTr="00F867DE">
        <w:tc>
          <w:tcPr>
            <w:tcW w:w="4711" w:type="dxa"/>
          </w:tcPr>
          <w:p w14:paraId="03EB5DF2"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Artículo 309.</w:t>
            </w:r>
            <w:r w:rsidRPr="00837D4A">
              <w:rPr>
                <w:rFonts w:ascii="Verdana" w:hAnsi="Verdana"/>
                <w:sz w:val="16"/>
                <w:szCs w:val="16"/>
              </w:rPr>
              <w:t xml:space="preserve"> Se entiende por ocupación temporal la acción por la cual la Secretaría o la Comisión, en el ámbito de sus competencias, toman posesión temporal de los bienes, derechos e instalaciones de una persona Permisionaria, con la finalidad de satisfacer una necesidad de utilidad pública, cuando la persona Permisionaria incumpla sus obligaciones por causas no imputables a ésta, como pueden ser guerra, desastre natural, la grave alteración del orden público o hacer frente a peligros inminentes que atenten contra la seguridad nacional, la energética o la economía nacional, en términos del artículo 91 de la Ley.</w:t>
            </w:r>
          </w:p>
        </w:tc>
        <w:tc>
          <w:tcPr>
            <w:tcW w:w="4649" w:type="dxa"/>
          </w:tcPr>
          <w:p w14:paraId="5DE443B2" w14:textId="4AA3F48C"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309. </w:t>
            </w:r>
            <w:r w:rsidRPr="00837D4A">
              <w:rPr>
                <w:rFonts w:ascii="Verdana" w:hAnsi="Verdana"/>
                <w:sz w:val="16"/>
                <w:szCs w:val="16"/>
                <w:lang w:val="en-US"/>
              </w:rPr>
              <w:t>Temporary occupation is understood to be the action by which the Secretary or the Commission, within the scope of their powers, take temporary possession of the assets, rights and facilities of a Permit Holder, in order to satisfy a need of public utility, when the Permit Holder fails to comply with its obligations for reasons not attributable to it, such as war, natural disaster, serious disturbance of public order or facing imminent dangers that threaten national security, energy security or the national economy, in terms of Article 91 of the Law.</w:t>
            </w:r>
          </w:p>
        </w:tc>
      </w:tr>
      <w:tr w:rsidR="009849AC" w:rsidRPr="009E69D6" w14:paraId="76949868" w14:textId="1905ED04" w:rsidTr="00F867DE">
        <w:tc>
          <w:tcPr>
            <w:tcW w:w="4711" w:type="dxa"/>
          </w:tcPr>
          <w:p w14:paraId="7AF07A66"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sz w:val="16"/>
                <w:szCs w:val="16"/>
              </w:rPr>
              <w:lastRenderedPageBreak/>
              <w:t>La autoridad que lleve a cabo la ocupación temporal debe procurar la adecuada prestación del servicio u operación objeto del permiso a fin de garantizar los intereses de las personas Usuarias Finales y consumidores.</w:t>
            </w:r>
          </w:p>
        </w:tc>
        <w:tc>
          <w:tcPr>
            <w:tcW w:w="4649" w:type="dxa"/>
          </w:tcPr>
          <w:p w14:paraId="136274C5" w14:textId="2E0F550B" w:rsidR="009849AC" w:rsidRPr="00837D4A" w:rsidRDefault="009849AC" w:rsidP="009849AC">
            <w:pPr>
              <w:pStyle w:val="Texto"/>
              <w:spacing w:line="228" w:lineRule="exact"/>
              <w:ind w:firstLine="0"/>
              <w:rPr>
                <w:rFonts w:ascii="Verdana" w:hAnsi="Verdana"/>
                <w:sz w:val="16"/>
                <w:szCs w:val="16"/>
                <w:lang w:val="en-US"/>
              </w:rPr>
            </w:pPr>
            <w:r w:rsidRPr="00837D4A">
              <w:rPr>
                <w:rFonts w:ascii="Verdana" w:hAnsi="Verdana"/>
                <w:sz w:val="16"/>
                <w:szCs w:val="16"/>
                <w:lang w:val="en-US"/>
              </w:rPr>
              <w:t>The authority carrying out the temporary occupation must ensure the adequate provision of the service or operation subject to the permit in order to guarantee the interests of the end users and consumers.</w:t>
            </w:r>
          </w:p>
        </w:tc>
      </w:tr>
      <w:tr w:rsidR="009849AC" w:rsidRPr="009E69D6" w14:paraId="68EF55CB" w14:textId="43265387" w:rsidTr="00F867DE">
        <w:tc>
          <w:tcPr>
            <w:tcW w:w="4711" w:type="dxa"/>
          </w:tcPr>
          <w:p w14:paraId="3DA7C9A3" w14:textId="77777777" w:rsidR="009849AC" w:rsidRPr="00837D4A" w:rsidRDefault="009849AC" w:rsidP="009849AC">
            <w:pPr>
              <w:pStyle w:val="Texto"/>
              <w:spacing w:line="228" w:lineRule="exact"/>
              <w:ind w:firstLine="0"/>
              <w:rPr>
                <w:rFonts w:ascii="Verdana" w:hAnsi="Verdana"/>
                <w:sz w:val="16"/>
                <w:szCs w:val="16"/>
              </w:rPr>
            </w:pPr>
            <w:r w:rsidRPr="00837D4A">
              <w:rPr>
                <w:rFonts w:ascii="Verdana" w:hAnsi="Verdana"/>
                <w:b/>
                <w:sz w:val="16"/>
                <w:szCs w:val="16"/>
              </w:rPr>
              <w:t>Artículo 310.</w:t>
            </w:r>
            <w:r w:rsidRPr="00837D4A">
              <w:rPr>
                <w:rFonts w:ascii="Verdana" w:hAnsi="Verdana"/>
                <w:sz w:val="16"/>
                <w:szCs w:val="16"/>
              </w:rPr>
              <w:t xml:space="preserve"> La Secretaría o la Comisión, en el ámbito de sus competencias, debe integrar el expediente de ocupación temporal que corresponda con al menos los siguientes elementos:</w:t>
            </w:r>
          </w:p>
        </w:tc>
        <w:tc>
          <w:tcPr>
            <w:tcW w:w="4649" w:type="dxa"/>
          </w:tcPr>
          <w:p w14:paraId="305F3118" w14:textId="2CC58857"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310. </w:t>
            </w:r>
            <w:r w:rsidRPr="00837D4A">
              <w:rPr>
                <w:rFonts w:ascii="Verdana" w:hAnsi="Verdana"/>
                <w:sz w:val="16"/>
                <w:szCs w:val="16"/>
                <w:lang w:val="en-US"/>
              </w:rPr>
              <w:t>The Secretary or the Commission, within the scope of its powers, must compile the corresponding temporary occupation file with at least the following elements:</w:t>
            </w:r>
          </w:p>
        </w:tc>
      </w:tr>
      <w:tr w:rsidR="009849AC" w:rsidRPr="009E69D6" w14:paraId="69115FA6" w14:textId="4EEB3165" w:rsidTr="00F867DE">
        <w:tc>
          <w:tcPr>
            <w:tcW w:w="4711" w:type="dxa"/>
          </w:tcPr>
          <w:p w14:paraId="40BB35F2" w14:textId="77777777" w:rsidR="009849AC" w:rsidRPr="00837D4A" w:rsidRDefault="009849AC" w:rsidP="009849AC">
            <w:pPr>
              <w:pStyle w:val="Texto"/>
              <w:spacing w:line="228"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Descripción de los hechos y causas que motivan la ocupación;</w:t>
            </w:r>
          </w:p>
        </w:tc>
        <w:tc>
          <w:tcPr>
            <w:tcW w:w="4649" w:type="dxa"/>
          </w:tcPr>
          <w:p w14:paraId="2FD2DB11" w14:textId="7D29E281"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Description of the facts and causes that motivate the occupation;</w:t>
            </w:r>
          </w:p>
        </w:tc>
      </w:tr>
      <w:tr w:rsidR="009849AC" w:rsidRPr="009E69D6" w14:paraId="49B86619" w14:textId="472AD9D1" w:rsidTr="00F867DE">
        <w:tc>
          <w:tcPr>
            <w:tcW w:w="4711" w:type="dxa"/>
          </w:tcPr>
          <w:p w14:paraId="5A8F623B" w14:textId="77777777" w:rsidR="009849AC" w:rsidRPr="00837D4A" w:rsidRDefault="009849AC" w:rsidP="009849AC">
            <w:pPr>
              <w:pStyle w:val="Texto"/>
              <w:spacing w:line="228"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Opinión técnica y análisis jurídico que justifique la medida;</w:t>
            </w:r>
          </w:p>
        </w:tc>
        <w:tc>
          <w:tcPr>
            <w:tcW w:w="4649" w:type="dxa"/>
          </w:tcPr>
          <w:p w14:paraId="51F2FB12" w14:textId="4AE37822"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Technical opinion and legal analysis that justifies the measure;</w:t>
            </w:r>
          </w:p>
        </w:tc>
      </w:tr>
      <w:tr w:rsidR="009849AC" w:rsidRPr="009E69D6" w14:paraId="04CC69B2" w14:textId="7196BAB3" w:rsidTr="00F867DE">
        <w:tc>
          <w:tcPr>
            <w:tcW w:w="4711" w:type="dxa"/>
          </w:tcPr>
          <w:p w14:paraId="42319FCE" w14:textId="77777777" w:rsidR="009849AC" w:rsidRPr="00837D4A" w:rsidRDefault="009849AC" w:rsidP="009849AC">
            <w:pPr>
              <w:pStyle w:val="Texto"/>
              <w:spacing w:line="228"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Identificación de los bienes, derechos e instalaciones a ocupar;</w:t>
            </w:r>
          </w:p>
        </w:tc>
        <w:tc>
          <w:tcPr>
            <w:tcW w:w="4649" w:type="dxa"/>
          </w:tcPr>
          <w:p w14:paraId="3E856B13" w14:textId="13848134"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Identification of the assets, rights and facilities to be occupied;</w:t>
            </w:r>
          </w:p>
        </w:tc>
      </w:tr>
      <w:tr w:rsidR="009849AC" w:rsidRPr="009E69D6" w14:paraId="56C01AF2" w14:textId="1F699018" w:rsidTr="00F867DE">
        <w:tc>
          <w:tcPr>
            <w:tcW w:w="4711" w:type="dxa"/>
          </w:tcPr>
          <w:p w14:paraId="30FF8C8F" w14:textId="77777777" w:rsidR="009849AC" w:rsidRPr="00837D4A" w:rsidRDefault="009849AC" w:rsidP="009849AC">
            <w:pPr>
              <w:pStyle w:val="Texto"/>
              <w:spacing w:line="228"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Evaluación de impacto a personas Usuarias Finales, consumidoras y terceras personas;</w:t>
            </w:r>
          </w:p>
        </w:tc>
        <w:tc>
          <w:tcPr>
            <w:tcW w:w="4649" w:type="dxa"/>
          </w:tcPr>
          <w:p w14:paraId="2FC9BA8B" w14:textId="5D5D5AFE"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Impact assessment on end users, consumers and third parties;</w:t>
            </w:r>
          </w:p>
        </w:tc>
      </w:tr>
      <w:tr w:rsidR="009849AC" w:rsidRPr="009E69D6" w14:paraId="1E5DF961" w14:textId="69062775" w:rsidTr="00F867DE">
        <w:tc>
          <w:tcPr>
            <w:tcW w:w="4711" w:type="dxa"/>
          </w:tcPr>
          <w:p w14:paraId="22D69D51" w14:textId="77777777" w:rsidR="009849AC" w:rsidRPr="00837D4A" w:rsidRDefault="009849AC" w:rsidP="009849AC">
            <w:pPr>
              <w:pStyle w:val="Texto"/>
              <w:spacing w:line="228"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Propuesta de duración de la ocupación;</w:t>
            </w:r>
          </w:p>
        </w:tc>
        <w:tc>
          <w:tcPr>
            <w:tcW w:w="4649" w:type="dxa"/>
          </w:tcPr>
          <w:p w14:paraId="2C249FDA" w14:textId="61789777"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Proposed duration of occupation;</w:t>
            </w:r>
          </w:p>
        </w:tc>
      </w:tr>
      <w:tr w:rsidR="009849AC" w:rsidRPr="00D0180E" w14:paraId="01B48713" w14:textId="14153AB3" w:rsidTr="00F867DE">
        <w:tc>
          <w:tcPr>
            <w:tcW w:w="4711" w:type="dxa"/>
          </w:tcPr>
          <w:p w14:paraId="1634C69F" w14:textId="77777777" w:rsidR="009849AC" w:rsidRPr="00837D4A" w:rsidRDefault="009849AC" w:rsidP="009849AC">
            <w:pPr>
              <w:pStyle w:val="Texto"/>
              <w:spacing w:line="228"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Programa de continuidad de las actividades;</w:t>
            </w:r>
          </w:p>
        </w:tc>
        <w:tc>
          <w:tcPr>
            <w:tcW w:w="4649" w:type="dxa"/>
          </w:tcPr>
          <w:p w14:paraId="0D79A9F7" w14:textId="6A579E39"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rPr>
              <w:t xml:space="preserve">VI. </w:t>
            </w:r>
            <w:r w:rsidRPr="00837D4A">
              <w:rPr>
                <w:rFonts w:ascii="Verdana" w:hAnsi="Verdana"/>
                <w:b/>
                <w:sz w:val="16"/>
                <w:szCs w:val="16"/>
              </w:rPr>
              <w:tab/>
            </w:r>
            <w:r w:rsidRPr="00837D4A">
              <w:rPr>
                <w:rFonts w:ascii="Verdana" w:hAnsi="Verdana"/>
                <w:sz w:val="16"/>
                <w:szCs w:val="16"/>
              </w:rPr>
              <w:t xml:space="preserve">Business </w:t>
            </w:r>
            <w:proofErr w:type="spellStart"/>
            <w:r w:rsidRPr="00837D4A">
              <w:rPr>
                <w:rFonts w:ascii="Verdana" w:hAnsi="Verdana"/>
                <w:sz w:val="16"/>
                <w:szCs w:val="16"/>
              </w:rPr>
              <w:t>continuity</w:t>
            </w:r>
            <w:proofErr w:type="spellEnd"/>
            <w:r w:rsidRPr="00837D4A">
              <w:rPr>
                <w:rFonts w:ascii="Verdana" w:hAnsi="Verdana"/>
                <w:sz w:val="16"/>
                <w:szCs w:val="16"/>
              </w:rPr>
              <w:t xml:space="preserve"> </w:t>
            </w:r>
            <w:proofErr w:type="spellStart"/>
            <w:r w:rsidRPr="00837D4A">
              <w:rPr>
                <w:rFonts w:ascii="Verdana" w:hAnsi="Verdana"/>
                <w:sz w:val="16"/>
                <w:szCs w:val="16"/>
              </w:rPr>
              <w:t>program</w:t>
            </w:r>
            <w:proofErr w:type="spellEnd"/>
            <w:r w:rsidRPr="00837D4A">
              <w:rPr>
                <w:rFonts w:ascii="Verdana" w:hAnsi="Verdana"/>
                <w:sz w:val="16"/>
                <w:szCs w:val="16"/>
              </w:rPr>
              <w:t>;</w:t>
            </w:r>
          </w:p>
        </w:tc>
      </w:tr>
      <w:tr w:rsidR="009849AC" w:rsidRPr="009E69D6" w14:paraId="160C14C0" w14:textId="0F7A2068" w:rsidTr="00F867DE">
        <w:tc>
          <w:tcPr>
            <w:tcW w:w="4711" w:type="dxa"/>
          </w:tcPr>
          <w:p w14:paraId="05AE980E" w14:textId="77777777" w:rsidR="009849AC" w:rsidRPr="00837D4A" w:rsidRDefault="009849AC" w:rsidP="009849AC">
            <w:pPr>
              <w:pStyle w:val="Texto"/>
              <w:spacing w:line="228" w:lineRule="exact"/>
              <w:ind w:firstLine="0"/>
              <w:rPr>
                <w:rFonts w:ascii="Verdana" w:hAnsi="Verdana"/>
                <w:b/>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 xml:space="preserve">Dictamen </w:t>
            </w:r>
            <w:proofErr w:type="spellStart"/>
            <w:r w:rsidRPr="00837D4A">
              <w:rPr>
                <w:rFonts w:ascii="Verdana" w:hAnsi="Verdana"/>
                <w:sz w:val="16"/>
                <w:szCs w:val="16"/>
              </w:rPr>
              <w:t>valuatorio</w:t>
            </w:r>
            <w:proofErr w:type="spellEnd"/>
            <w:r w:rsidRPr="00837D4A">
              <w:rPr>
                <w:rFonts w:ascii="Verdana" w:hAnsi="Verdana"/>
                <w:sz w:val="16"/>
                <w:szCs w:val="16"/>
              </w:rPr>
              <w:t xml:space="preserve"> respecto del monto de indemnización;</w:t>
            </w:r>
          </w:p>
        </w:tc>
        <w:tc>
          <w:tcPr>
            <w:tcW w:w="4649" w:type="dxa"/>
          </w:tcPr>
          <w:p w14:paraId="5B39E7AF" w14:textId="3E5DE36C"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Valuation opinion regarding the amount of compensation;</w:t>
            </w:r>
          </w:p>
        </w:tc>
      </w:tr>
      <w:tr w:rsidR="009849AC" w:rsidRPr="00D0180E" w14:paraId="4AEDE6A4" w14:textId="5779FD5D" w:rsidTr="00F867DE">
        <w:tc>
          <w:tcPr>
            <w:tcW w:w="4711" w:type="dxa"/>
          </w:tcPr>
          <w:p w14:paraId="6884D50B" w14:textId="77777777" w:rsidR="009849AC" w:rsidRPr="00837D4A" w:rsidRDefault="009849AC" w:rsidP="009849AC">
            <w:pPr>
              <w:pStyle w:val="Texto"/>
              <w:spacing w:line="228" w:lineRule="exact"/>
              <w:ind w:firstLine="0"/>
              <w:rPr>
                <w:rFonts w:ascii="Verdana" w:hAnsi="Verdana"/>
                <w:b/>
                <w:sz w:val="16"/>
                <w:szCs w:val="16"/>
                <w:lang w:val="es"/>
              </w:rPr>
            </w:pPr>
            <w:r w:rsidRPr="00837D4A">
              <w:rPr>
                <w:rFonts w:ascii="Verdana" w:hAnsi="Verdana"/>
                <w:b/>
                <w:sz w:val="16"/>
                <w:szCs w:val="16"/>
                <w:lang w:val="es"/>
              </w:rPr>
              <w:t>VIII.</w:t>
            </w:r>
            <w:r w:rsidRPr="00837D4A">
              <w:rPr>
                <w:rFonts w:ascii="Verdana" w:hAnsi="Verdana"/>
                <w:b/>
                <w:sz w:val="16"/>
                <w:szCs w:val="16"/>
                <w:lang w:val="es"/>
              </w:rPr>
              <w:tab/>
            </w:r>
            <w:r w:rsidRPr="00837D4A">
              <w:rPr>
                <w:rFonts w:ascii="Verdana" w:hAnsi="Verdana"/>
                <w:sz w:val="16"/>
                <w:szCs w:val="16"/>
              </w:rPr>
              <w:t>Pago indemnizatorio, y</w:t>
            </w:r>
          </w:p>
        </w:tc>
        <w:tc>
          <w:tcPr>
            <w:tcW w:w="4649" w:type="dxa"/>
          </w:tcPr>
          <w:p w14:paraId="7DF9BBFD" w14:textId="32EA8399"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s"/>
              </w:rPr>
              <w:t xml:space="preserve">VIII. </w:t>
            </w:r>
            <w:r w:rsidRPr="00837D4A">
              <w:rPr>
                <w:rFonts w:ascii="Verdana" w:hAnsi="Verdana"/>
                <w:b/>
                <w:sz w:val="16"/>
                <w:szCs w:val="16"/>
                <w:lang w:val="es"/>
              </w:rPr>
              <w:tab/>
            </w:r>
            <w:r w:rsidRPr="00837D4A">
              <w:rPr>
                <w:rFonts w:ascii="Verdana" w:hAnsi="Verdana"/>
                <w:sz w:val="16"/>
                <w:szCs w:val="16"/>
              </w:rPr>
              <w:t xml:space="preserve">Compensatory </w:t>
            </w:r>
            <w:proofErr w:type="spellStart"/>
            <w:r w:rsidRPr="00837D4A">
              <w:rPr>
                <w:rFonts w:ascii="Verdana" w:hAnsi="Verdana"/>
                <w:sz w:val="16"/>
                <w:szCs w:val="16"/>
              </w:rPr>
              <w:t>payment</w:t>
            </w:r>
            <w:proofErr w:type="spellEnd"/>
            <w:r w:rsidRPr="00837D4A">
              <w:rPr>
                <w:rFonts w:ascii="Verdana" w:hAnsi="Verdana"/>
                <w:sz w:val="16"/>
                <w:szCs w:val="16"/>
              </w:rPr>
              <w:t>, and</w:t>
            </w:r>
          </w:p>
        </w:tc>
      </w:tr>
      <w:tr w:rsidR="009849AC" w:rsidRPr="009E69D6" w14:paraId="1994915D" w14:textId="70ADC5A1" w:rsidTr="00F867DE">
        <w:tc>
          <w:tcPr>
            <w:tcW w:w="4711" w:type="dxa"/>
          </w:tcPr>
          <w:p w14:paraId="23B6096E" w14:textId="77777777" w:rsidR="009849AC" w:rsidRPr="00837D4A" w:rsidRDefault="009849AC" w:rsidP="009849AC">
            <w:pPr>
              <w:pStyle w:val="Texto"/>
              <w:spacing w:line="228" w:lineRule="exact"/>
              <w:ind w:firstLine="0"/>
              <w:rPr>
                <w:rFonts w:ascii="Verdana" w:hAnsi="Verdana"/>
                <w:b/>
                <w:sz w:val="16"/>
                <w:szCs w:val="16"/>
                <w:lang w:val="es"/>
              </w:rPr>
            </w:pPr>
            <w:r w:rsidRPr="00837D4A">
              <w:rPr>
                <w:rFonts w:ascii="Verdana" w:hAnsi="Verdana"/>
                <w:b/>
                <w:sz w:val="16"/>
                <w:szCs w:val="16"/>
                <w:lang w:val="es"/>
              </w:rPr>
              <w:t>IX.</w:t>
            </w:r>
            <w:r w:rsidRPr="00837D4A">
              <w:rPr>
                <w:rFonts w:ascii="Verdana" w:hAnsi="Verdana"/>
                <w:b/>
                <w:sz w:val="16"/>
                <w:szCs w:val="16"/>
                <w:lang w:val="es"/>
              </w:rPr>
              <w:tab/>
            </w:r>
            <w:r w:rsidRPr="00837D4A">
              <w:rPr>
                <w:rFonts w:ascii="Verdana" w:hAnsi="Verdana"/>
                <w:sz w:val="16"/>
                <w:szCs w:val="16"/>
                <w:lang w:val="es"/>
              </w:rPr>
              <w:t>Los demás previstos en la Normatividad aplicable.</w:t>
            </w:r>
          </w:p>
        </w:tc>
        <w:tc>
          <w:tcPr>
            <w:tcW w:w="4649" w:type="dxa"/>
          </w:tcPr>
          <w:p w14:paraId="5583A0E8" w14:textId="76745E9D"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Others provided for in the applicable legislation.</w:t>
            </w:r>
          </w:p>
        </w:tc>
      </w:tr>
      <w:tr w:rsidR="009849AC" w:rsidRPr="009E69D6" w14:paraId="5B16529B" w14:textId="35C0C204" w:rsidTr="00F867DE">
        <w:tc>
          <w:tcPr>
            <w:tcW w:w="4711" w:type="dxa"/>
          </w:tcPr>
          <w:p w14:paraId="73994C70" w14:textId="77777777" w:rsidR="009849AC" w:rsidRPr="00837D4A" w:rsidRDefault="009849AC" w:rsidP="009849AC">
            <w:pPr>
              <w:pStyle w:val="Texto"/>
              <w:spacing w:line="228" w:lineRule="exact"/>
              <w:ind w:firstLine="0"/>
              <w:rPr>
                <w:rFonts w:ascii="Verdana" w:hAnsi="Verdana"/>
                <w:sz w:val="16"/>
                <w:szCs w:val="16"/>
                <w:lang w:val="es"/>
              </w:rPr>
            </w:pPr>
            <w:r w:rsidRPr="00837D4A">
              <w:rPr>
                <w:rFonts w:ascii="Verdana" w:hAnsi="Verdana"/>
                <w:b/>
                <w:sz w:val="16"/>
                <w:szCs w:val="16"/>
                <w:lang w:val="es"/>
              </w:rPr>
              <w:t>Artículo 311.</w:t>
            </w:r>
            <w:r w:rsidRPr="00837D4A">
              <w:rPr>
                <w:rFonts w:ascii="Verdana" w:hAnsi="Verdana"/>
                <w:sz w:val="16"/>
                <w:szCs w:val="16"/>
                <w:lang w:val="es"/>
              </w:rPr>
              <w:t xml:space="preserve"> El procedimiento de ocupación temporal debe cumplir con lo establecido en la Ley de Expropiación.</w:t>
            </w:r>
          </w:p>
        </w:tc>
        <w:tc>
          <w:tcPr>
            <w:tcW w:w="4649" w:type="dxa"/>
          </w:tcPr>
          <w:p w14:paraId="3EDFF636" w14:textId="1C9B93A8"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311. </w:t>
            </w:r>
            <w:r w:rsidRPr="00837D4A">
              <w:rPr>
                <w:rFonts w:ascii="Verdana" w:hAnsi="Verdana"/>
                <w:sz w:val="16"/>
                <w:szCs w:val="16"/>
                <w:lang w:val="en-US"/>
              </w:rPr>
              <w:t>The temporary occupation procedure must comply with the provisions of the Expropriation Law.</w:t>
            </w:r>
          </w:p>
        </w:tc>
      </w:tr>
      <w:tr w:rsidR="009849AC" w:rsidRPr="009E69D6" w14:paraId="01E80A71" w14:textId="30F53888" w:rsidTr="00F867DE">
        <w:tc>
          <w:tcPr>
            <w:tcW w:w="4711" w:type="dxa"/>
          </w:tcPr>
          <w:p w14:paraId="026BF022" w14:textId="77777777" w:rsidR="009849AC" w:rsidRPr="00837D4A" w:rsidRDefault="009849AC" w:rsidP="009849AC">
            <w:pPr>
              <w:pStyle w:val="Texto"/>
              <w:spacing w:line="228" w:lineRule="exact"/>
              <w:ind w:firstLine="0"/>
              <w:rPr>
                <w:rFonts w:ascii="Verdana" w:hAnsi="Verdana"/>
                <w:sz w:val="16"/>
                <w:szCs w:val="16"/>
                <w:lang w:val="es"/>
              </w:rPr>
            </w:pPr>
            <w:r w:rsidRPr="00837D4A">
              <w:rPr>
                <w:rFonts w:ascii="Verdana" w:hAnsi="Verdana"/>
                <w:b/>
                <w:sz w:val="16"/>
                <w:szCs w:val="16"/>
                <w:lang w:val="es"/>
              </w:rPr>
              <w:t xml:space="preserve">Artículo 312. </w:t>
            </w:r>
            <w:r w:rsidRPr="00837D4A">
              <w:rPr>
                <w:rFonts w:ascii="Verdana" w:hAnsi="Verdana"/>
                <w:sz w:val="16"/>
                <w:szCs w:val="16"/>
                <w:lang w:val="es"/>
              </w:rPr>
              <w:t>La indemnización que, en su caso proceda por la ocupación temporal, consiste en una compensación a valor de mercado en términos de la Ley de Expropiación, así como en el pago de daños y perjuicios, que se encuentren debidamente acreditados.</w:t>
            </w:r>
          </w:p>
        </w:tc>
        <w:tc>
          <w:tcPr>
            <w:tcW w:w="4649" w:type="dxa"/>
          </w:tcPr>
          <w:p w14:paraId="4A8674C0" w14:textId="177C4D81" w:rsidR="009849AC" w:rsidRPr="00837D4A" w:rsidRDefault="009849AC" w:rsidP="009849AC">
            <w:pPr>
              <w:pStyle w:val="Texto"/>
              <w:spacing w:line="228" w:lineRule="exact"/>
              <w:ind w:firstLine="0"/>
              <w:rPr>
                <w:rFonts w:ascii="Verdana" w:hAnsi="Verdana"/>
                <w:b/>
                <w:sz w:val="16"/>
                <w:szCs w:val="16"/>
                <w:lang w:val="en-US"/>
              </w:rPr>
            </w:pPr>
            <w:r w:rsidRPr="00837D4A">
              <w:rPr>
                <w:rFonts w:ascii="Verdana" w:hAnsi="Verdana"/>
                <w:b/>
                <w:sz w:val="16"/>
                <w:szCs w:val="16"/>
                <w:lang w:val="en-US"/>
              </w:rPr>
              <w:t xml:space="preserve">Article 312. </w:t>
            </w:r>
            <w:r w:rsidRPr="00837D4A">
              <w:rPr>
                <w:rFonts w:ascii="Verdana" w:hAnsi="Verdana"/>
                <w:sz w:val="16"/>
                <w:szCs w:val="16"/>
                <w:lang w:val="en-US"/>
              </w:rPr>
              <w:t>Any compensation that may be appropriate for temporary occupation consists of compensation at market value in accordance with the Expropriation Law, as well as payment of damages, which are duly accredited.</w:t>
            </w:r>
          </w:p>
        </w:tc>
      </w:tr>
      <w:tr w:rsidR="009849AC" w:rsidRPr="009E69D6" w14:paraId="20B38A02" w14:textId="2339BE32" w:rsidTr="00F867DE">
        <w:tc>
          <w:tcPr>
            <w:tcW w:w="4711" w:type="dxa"/>
          </w:tcPr>
          <w:p w14:paraId="3DE54C79" w14:textId="77777777" w:rsidR="009849AC" w:rsidRPr="00837D4A" w:rsidRDefault="009849AC" w:rsidP="009849AC">
            <w:pPr>
              <w:pStyle w:val="Texto"/>
              <w:spacing w:line="238" w:lineRule="exact"/>
              <w:ind w:firstLine="0"/>
              <w:rPr>
                <w:rFonts w:ascii="Verdana" w:hAnsi="Verdana"/>
                <w:sz w:val="16"/>
                <w:szCs w:val="16"/>
                <w:lang w:val="es"/>
              </w:rPr>
            </w:pPr>
            <w:r w:rsidRPr="00837D4A">
              <w:rPr>
                <w:rFonts w:ascii="Verdana" w:hAnsi="Verdana"/>
                <w:b/>
                <w:sz w:val="16"/>
                <w:szCs w:val="16"/>
                <w:lang w:val="es"/>
              </w:rPr>
              <w:t>Artículo 313.</w:t>
            </w:r>
            <w:r w:rsidRPr="00837D4A">
              <w:rPr>
                <w:rFonts w:ascii="Verdana" w:hAnsi="Verdana"/>
                <w:sz w:val="16"/>
                <w:szCs w:val="16"/>
                <w:lang w:val="es"/>
              </w:rPr>
              <w:t xml:space="preserve"> En ningún caso la ocupación temporal puede exceder de treinta y seis meses.</w:t>
            </w:r>
          </w:p>
        </w:tc>
        <w:tc>
          <w:tcPr>
            <w:tcW w:w="4649" w:type="dxa"/>
          </w:tcPr>
          <w:p w14:paraId="794252D6" w14:textId="16B60D8E"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313. </w:t>
            </w:r>
            <w:r w:rsidRPr="00837D4A">
              <w:rPr>
                <w:rFonts w:ascii="Verdana" w:hAnsi="Verdana"/>
                <w:sz w:val="16"/>
                <w:szCs w:val="16"/>
                <w:lang w:val="en-US"/>
              </w:rPr>
              <w:t>In no case may temporary occupation exceed thirty-six months.</w:t>
            </w:r>
          </w:p>
        </w:tc>
      </w:tr>
      <w:tr w:rsidR="009849AC" w:rsidRPr="009E69D6" w14:paraId="0D9B4B93" w14:textId="0070D14F" w:rsidTr="00F867DE">
        <w:tc>
          <w:tcPr>
            <w:tcW w:w="4711" w:type="dxa"/>
          </w:tcPr>
          <w:p w14:paraId="22C22893"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La ocupación temporal puede ser prorrogada, por periodos no mayores a seis meses, siempre y cuando entre el plazo inicial y el total de las prórrogas no exceda el término señalado en el párrafo anterior.</w:t>
            </w:r>
          </w:p>
        </w:tc>
        <w:tc>
          <w:tcPr>
            <w:tcW w:w="4649" w:type="dxa"/>
          </w:tcPr>
          <w:p w14:paraId="031A7707" w14:textId="7C5F0A76"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Temporary occupation may be extended for periods of no more than six months, provided that the total number of extensions between the initial period and the total number of extensions does not exceed the period indicated in the preceding paragraph.</w:t>
            </w:r>
          </w:p>
        </w:tc>
      </w:tr>
      <w:tr w:rsidR="009849AC" w:rsidRPr="009E69D6" w14:paraId="67E327D9" w14:textId="29550B48" w:rsidTr="00F867DE">
        <w:tc>
          <w:tcPr>
            <w:tcW w:w="4711" w:type="dxa"/>
          </w:tcPr>
          <w:p w14:paraId="19AEF469" w14:textId="77777777" w:rsidR="009849AC" w:rsidRPr="00837D4A" w:rsidRDefault="009849AC" w:rsidP="009849AC">
            <w:pPr>
              <w:pStyle w:val="Texto"/>
              <w:spacing w:line="238" w:lineRule="exact"/>
              <w:ind w:firstLine="0"/>
              <w:rPr>
                <w:rFonts w:ascii="Verdana" w:hAnsi="Verdana"/>
                <w:sz w:val="16"/>
                <w:szCs w:val="16"/>
                <w:lang w:val="es"/>
              </w:rPr>
            </w:pPr>
            <w:r w:rsidRPr="00837D4A">
              <w:rPr>
                <w:rFonts w:ascii="Verdana" w:hAnsi="Verdana"/>
                <w:sz w:val="16"/>
                <w:szCs w:val="16"/>
              </w:rPr>
              <w:t>Para que opere la prórroga, la autoridad debe determinarla previo a los quince días naturales al fenecimiento del plazo inicial o su prórroga, cuando persistan las causas que dieron origen a la ocupación.</w:t>
            </w:r>
          </w:p>
        </w:tc>
        <w:tc>
          <w:tcPr>
            <w:tcW w:w="4649" w:type="dxa"/>
          </w:tcPr>
          <w:p w14:paraId="3E9E8FED" w14:textId="7377415C"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For the extension to take effect, the authority must determine it within fifteen calendar days of the expiration of the initial period or its extension, if the causes that gave rise to the occupation persist.</w:t>
            </w:r>
          </w:p>
        </w:tc>
      </w:tr>
      <w:tr w:rsidR="009849AC" w:rsidRPr="009E69D6" w14:paraId="19800632" w14:textId="64043C38" w:rsidTr="00F867DE">
        <w:tc>
          <w:tcPr>
            <w:tcW w:w="4711" w:type="dxa"/>
          </w:tcPr>
          <w:p w14:paraId="107CA985" w14:textId="77777777" w:rsidR="009849AC" w:rsidRPr="00837D4A" w:rsidRDefault="009849AC" w:rsidP="009849AC">
            <w:pPr>
              <w:pStyle w:val="Texto"/>
              <w:spacing w:line="238" w:lineRule="exact"/>
              <w:ind w:firstLine="0"/>
              <w:rPr>
                <w:rFonts w:ascii="Verdana" w:hAnsi="Verdana"/>
                <w:sz w:val="16"/>
                <w:szCs w:val="16"/>
                <w:lang w:val="es"/>
              </w:rPr>
            </w:pPr>
            <w:r w:rsidRPr="00837D4A">
              <w:rPr>
                <w:rFonts w:ascii="Verdana" w:hAnsi="Verdana"/>
                <w:b/>
                <w:sz w:val="16"/>
                <w:szCs w:val="16"/>
              </w:rPr>
              <w:t xml:space="preserve">Artículo 314. </w:t>
            </w:r>
            <w:r w:rsidRPr="00837D4A">
              <w:rPr>
                <w:rFonts w:ascii="Verdana" w:hAnsi="Verdana"/>
                <w:sz w:val="16"/>
                <w:szCs w:val="16"/>
              </w:rPr>
              <w:t xml:space="preserve">Transcurrido el plazo máximo para la ocupación temporal, la autoridad que llevó a </w:t>
            </w:r>
            <w:r w:rsidRPr="00837D4A">
              <w:rPr>
                <w:rFonts w:ascii="Verdana" w:hAnsi="Verdana"/>
                <w:sz w:val="16"/>
                <w:szCs w:val="16"/>
                <w:lang w:val="es"/>
              </w:rPr>
              <w:t xml:space="preserve">cabo la misma </w:t>
            </w:r>
            <w:r w:rsidRPr="00837D4A">
              <w:rPr>
                <w:rFonts w:ascii="Verdana" w:hAnsi="Verdana"/>
                <w:sz w:val="16"/>
                <w:szCs w:val="16"/>
              </w:rPr>
              <w:t>debe:</w:t>
            </w:r>
          </w:p>
        </w:tc>
        <w:tc>
          <w:tcPr>
            <w:tcW w:w="4649" w:type="dxa"/>
          </w:tcPr>
          <w:p w14:paraId="11870CA9" w14:textId="41134B5A"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314. </w:t>
            </w:r>
            <w:r w:rsidRPr="00837D4A">
              <w:rPr>
                <w:rFonts w:ascii="Verdana" w:hAnsi="Verdana"/>
                <w:sz w:val="16"/>
                <w:szCs w:val="16"/>
                <w:lang w:val="en-US"/>
              </w:rPr>
              <w:t>After the maximum period for temporary occupation has elapsed, the authority that carried it out must:</w:t>
            </w:r>
          </w:p>
        </w:tc>
      </w:tr>
      <w:tr w:rsidR="009849AC" w:rsidRPr="009E69D6" w14:paraId="769F7222" w14:textId="04FD5A7B" w:rsidTr="00F867DE">
        <w:tc>
          <w:tcPr>
            <w:tcW w:w="4711" w:type="dxa"/>
          </w:tcPr>
          <w:p w14:paraId="5F7A6C73" w14:textId="77777777" w:rsidR="009849AC" w:rsidRPr="00837D4A" w:rsidRDefault="009849AC" w:rsidP="009849AC">
            <w:pPr>
              <w:pStyle w:val="Texto"/>
              <w:spacing w:line="238" w:lineRule="exact"/>
              <w:ind w:firstLine="0"/>
              <w:rPr>
                <w:rFonts w:ascii="Verdana" w:hAnsi="Verdana"/>
                <w:b/>
                <w:sz w:val="16"/>
                <w:szCs w:val="16"/>
              </w:rPr>
            </w:pPr>
            <w:r w:rsidRPr="00837D4A">
              <w:rPr>
                <w:rFonts w:ascii="Verdana" w:hAnsi="Verdana"/>
                <w:b/>
                <w:sz w:val="16"/>
                <w:szCs w:val="16"/>
              </w:rPr>
              <w:lastRenderedPageBreak/>
              <w:t>I.</w:t>
            </w:r>
            <w:r w:rsidRPr="00837D4A">
              <w:rPr>
                <w:rFonts w:ascii="Verdana" w:hAnsi="Verdana"/>
                <w:b/>
                <w:sz w:val="16"/>
                <w:szCs w:val="16"/>
              </w:rPr>
              <w:tab/>
            </w:r>
            <w:r w:rsidRPr="00837D4A">
              <w:rPr>
                <w:rFonts w:ascii="Verdana" w:hAnsi="Verdana"/>
                <w:sz w:val="16"/>
                <w:szCs w:val="16"/>
              </w:rPr>
              <w:t>Devolver los bienes, derechos e instalaciones a la persona Permisionaria, en caso de encontrarse extintas las causas que originaron la ocupación, o</w:t>
            </w:r>
          </w:p>
        </w:tc>
        <w:tc>
          <w:tcPr>
            <w:tcW w:w="4649" w:type="dxa"/>
          </w:tcPr>
          <w:p w14:paraId="0684E52C" w14:textId="1C3E88F3"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Return the goods, rights and facilities to the Permit Holder, if the causes that gave rise to the occupation have been extinguished, or</w:t>
            </w:r>
          </w:p>
        </w:tc>
      </w:tr>
      <w:tr w:rsidR="009849AC" w:rsidRPr="009E69D6" w14:paraId="066ECC7B" w14:textId="33587D36" w:rsidTr="00F867DE">
        <w:tc>
          <w:tcPr>
            <w:tcW w:w="4711" w:type="dxa"/>
          </w:tcPr>
          <w:p w14:paraId="5DEA73F1" w14:textId="77777777" w:rsidR="009849AC" w:rsidRPr="00837D4A" w:rsidRDefault="009849AC" w:rsidP="009849AC">
            <w:pPr>
              <w:pStyle w:val="Texto"/>
              <w:spacing w:line="238"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Proceder en términos de lo previsto en la Ley de Expropiación, en caso de que sigan vigentes las causas que la motivaron.</w:t>
            </w:r>
          </w:p>
        </w:tc>
        <w:tc>
          <w:tcPr>
            <w:tcW w:w="4649" w:type="dxa"/>
          </w:tcPr>
          <w:p w14:paraId="64C84B3E" w14:textId="2618902C"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Proceed in accordance with the provisions of the Expropriation Law, if the causes that motivated it remain in force.</w:t>
            </w:r>
          </w:p>
        </w:tc>
      </w:tr>
      <w:tr w:rsidR="009849AC" w:rsidRPr="009E69D6" w14:paraId="21A9A0D6" w14:textId="72FB866D" w:rsidTr="00F867DE">
        <w:tc>
          <w:tcPr>
            <w:tcW w:w="4711" w:type="dxa"/>
          </w:tcPr>
          <w:p w14:paraId="63A73BAF" w14:textId="77777777" w:rsidR="009849AC" w:rsidRPr="00837D4A" w:rsidRDefault="009849AC" w:rsidP="009849AC">
            <w:pPr>
              <w:pStyle w:val="Texto"/>
              <w:spacing w:line="238" w:lineRule="exact"/>
              <w:ind w:firstLine="0"/>
              <w:rPr>
                <w:rFonts w:ascii="Verdana" w:hAnsi="Verdana"/>
                <w:sz w:val="16"/>
                <w:szCs w:val="16"/>
                <w:lang w:val="es"/>
              </w:rPr>
            </w:pPr>
            <w:r w:rsidRPr="00837D4A">
              <w:rPr>
                <w:rFonts w:ascii="Verdana" w:hAnsi="Verdana"/>
                <w:b/>
                <w:sz w:val="16"/>
                <w:szCs w:val="16"/>
                <w:lang w:val="es"/>
              </w:rPr>
              <w:t>Artículo 315.</w:t>
            </w:r>
            <w:r w:rsidRPr="00837D4A">
              <w:rPr>
                <w:rFonts w:ascii="Verdana" w:hAnsi="Verdana"/>
                <w:sz w:val="16"/>
                <w:szCs w:val="16"/>
                <w:lang w:val="es"/>
              </w:rPr>
              <w:t xml:space="preserve"> La persona Permisionaria puede solicitar la terminación anticipada de la ocupación temporal, cuando acredite que las causas que dieron origen fueron subsanadas, erradicadas o han desaparecido.</w:t>
            </w:r>
          </w:p>
        </w:tc>
        <w:tc>
          <w:tcPr>
            <w:tcW w:w="4649" w:type="dxa"/>
          </w:tcPr>
          <w:p w14:paraId="3660FBEF" w14:textId="175F9CD0"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315. </w:t>
            </w:r>
            <w:r w:rsidRPr="00837D4A">
              <w:rPr>
                <w:rFonts w:ascii="Verdana" w:hAnsi="Verdana"/>
                <w:sz w:val="16"/>
                <w:szCs w:val="16"/>
                <w:lang w:val="en-US"/>
              </w:rPr>
              <w:t>The Permit Holder may request the early termination of the temporary occupation, when he or she can prove that the causes that gave rise to it have been remedied, eradicated or have disappeared.</w:t>
            </w:r>
          </w:p>
        </w:tc>
      </w:tr>
      <w:tr w:rsidR="009849AC" w:rsidRPr="009E69D6" w14:paraId="2BF623B6" w14:textId="41ADCEE0" w:rsidTr="00F867DE">
        <w:tc>
          <w:tcPr>
            <w:tcW w:w="4711" w:type="dxa"/>
          </w:tcPr>
          <w:p w14:paraId="038BF9AD" w14:textId="77777777" w:rsidR="009849AC" w:rsidRPr="00837D4A" w:rsidRDefault="009849AC" w:rsidP="009849AC">
            <w:pPr>
              <w:pStyle w:val="Texto"/>
              <w:spacing w:line="238" w:lineRule="exact"/>
              <w:ind w:firstLine="0"/>
              <w:rPr>
                <w:rFonts w:ascii="Verdana" w:hAnsi="Verdana"/>
                <w:sz w:val="16"/>
                <w:szCs w:val="16"/>
                <w:lang w:val="es"/>
              </w:rPr>
            </w:pPr>
            <w:r w:rsidRPr="00837D4A">
              <w:rPr>
                <w:rFonts w:ascii="Verdana" w:hAnsi="Verdana"/>
                <w:sz w:val="16"/>
                <w:szCs w:val="16"/>
              </w:rPr>
              <w:t>La autoridad que llevó a cabo la ocupación debe evaluar y resolver dicha solicitud en un plazo no mayor a veinte días hábiles contado a partir de que la persona Permisionaria notifique la desaparición, erradicación o subsanación de las causas que originaron la ocupación. En caso de no emitirse una resolución por parte de la autoridad que llevó a cabo la ocupación dentro del plazo establecido para ello, debe entenderse en sentido negativo.</w:t>
            </w:r>
          </w:p>
        </w:tc>
        <w:tc>
          <w:tcPr>
            <w:tcW w:w="4649" w:type="dxa"/>
          </w:tcPr>
          <w:p w14:paraId="43E6330D" w14:textId="4A0F8D36"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The authority that carried out the occupation must evaluate and resolve the request within a period of no more than twenty business days from the date the permit holder notifies the disappearance, eradication, or correction of the causes that led to the occupation. If the authority that carried out the occupation fails to issue a resolution within the established period, it must be understood as negative.</w:t>
            </w:r>
          </w:p>
        </w:tc>
      </w:tr>
      <w:tr w:rsidR="009849AC" w:rsidRPr="009E69D6" w14:paraId="4485FD0D" w14:textId="71416518" w:rsidTr="00F867DE">
        <w:tc>
          <w:tcPr>
            <w:tcW w:w="4711" w:type="dxa"/>
          </w:tcPr>
          <w:p w14:paraId="1CC4C9FF"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En caso de que no se haya emitido una resolución o haya sido en sentido negativo, la persona Permisionaria mantiene el derecho para ingresar una nueva solicitud de terminación anticipada.</w:t>
            </w:r>
          </w:p>
        </w:tc>
        <w:tc>
          <w:tcPr>
            <w:tcW w:w="4649" w:type="dxa"/>
          </w:tcPr>
          <w:p w14:paraId="74D02EB8" w14:textId="51A92C8E"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If no resolution has been issued or if it has been negative, the permit holder retains the right to submit a new request for early termination.</w:t>
            </w:r>
          </w:p>
        </w:tc>
      </w:tr>
      <w:tr w:rsidR="009849AC" w:rsidRPr="009E69D6" w14:paraId="1B51A34F" w14:textId="719D4359" w:rsidTr="00F867DE">
        <w:tc>
          <w:tcPr>
            <w:tcW w:w="4711" w:type="dxa"/>
          </w:tcPr>
          <w:p w14:paraId="6349A527" w14:textId="77777777" w:rsidR="009849AC" w:rsidRPr="00837D4A" w:rsidRDefault="009849AC" w:rsidP="009849AC">
            <w:pPr>
              <w:pStyle w:val="Texto"/>
              <w:spacing w:line="238" w:lineRule="exact"/>
              <w:ind w:firstLine="0"/>
              <w:rPr>
                <w:rFonts w:ascii="Verdana" w:hAnsi="Verdana"/>
                <w:sz w:val="16"/>
                <w:szCs w:val="16"/>
                <w:lang w:val="es"/>
              </w:rPr>
            </w:pPr>
            <w:r w:rsidRPr="00837D4A">
              <w:rPr>
                <w:rFonts w:ascii="Verdana" w:hAnsi="Verdana"/>
                <w:b/>
                <w:sz w:val="16"/>
                <w:szCs w:val="16"/>
                <w:lang w:val="es"/>
              </w:rPr>
              <w:t xml:space="preserve">Artículo 316. </w:t>
            </w:r>
            <w:r w:rsidRPr="00837D4A">
              <w:rPr>
                <w:rFonts w:ascii="Verdana" w:hAnsi="Verdana"/>
                <w:sz w:val="16"/>
                <w:szCs w:val="16"/>
                <w:lang w:val="es"/>
              </w:rPr>
              <w:t>En lo no previsto y en lo conducente, resultan aplicables supletoriamente las disposiciones contenidas en la Ley de Expropiación.</w:t>
            </w:r>
          </w:p>
        </w:tc>
        <w:tc>
          <w:tcPr>
            <w:tcW w:w="4649" w:type="dxa"/>
          </w:tcPr>
          <w:p w14:paraId="392DACF0" w14:textId="621F188E"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316. </w:t>
            </w:r>
            <w:r w:rsidRPr="00837D4A">
              <w:rPr>
                <w:rFonts w:ascii="Verdana" w:hAnsi="Verdana"/>
                <w:sz w:val="16"/>
                <w:szCs w:val="16"/>
                <w:lang w:val="en-US"/>
              </w:rPr>
              <w:t>In the event of any unforeseen and relevant matters, the provisions contained in the Expropriation Law shall apply on a supplementary basis.</w:t>
            </w:r>
          </w:p>
        </w:tc>
      </w:tr>
      <w:tr w:rsidR="009849AC" w:rsidRPr="00D0180E" w14:paraId="6FDDAB01" w14:textId="2850338D" w:rsidTr="00F867DE">
        <w:tc>
          <w:tcPr>
            <w:tcW w:w="4711" w:type="dxa"/>
          </w:tcPr>
          <w:p w14:paraId="25F2D4E2" w14:textId="77777777" w:rsidR="009849AC" w:rsidRPr="00837D4A" w:rsidRDefault="009849AC" w:rsidP="009849AC">
            <w:pPr>
              <w:pStyle w:val="Texto"/>
              <w:spacing w:line="238" w:lineRule="exact"/>
              <w:ind w:firstLine="0"/>
              <w:jc w:val="center"/>
              <w:rPr>
                <w:rFonts w:ascii="Verdana" w:hAnsi="Verdana"/>
                <w:b/>
                <w:sz w:val="16"/>
                <w:szCs w:val="16"/>
              </w:rPr>
            </w:pPr>
            <w:r w:rsidRPr="00837D4A">
              <w:rPr>
                <w:rFonts w:ascii="Verdana" w:hAnsi="Verdana"/>
                <w:b/>
                <w:sz w:val="16"/>
                <w:szCs w:val="16"/>
              </w:rPr>
              <w:t>Sección Segunda</w:t>
            </w:r>
          </w:p>
        </w:tc>
        <w:tc>
          <w:tcPr>
            <w:tcW w:w="4649" w:type="dxa"/>
          </w:tcPr>
          <w:p w14:paraId="27D68330" w14:textId="5DFDD8AD" w:rsidR="009849AC" w:rsidRPr="00837D4A" w:rsidRDefault="009849AC" w:rsidP="009849AC">
            <w:pPr>
              <w:pStyle w:val="Texto"/>
              <w:spacing w:line="238" w:lineRule="exact"/>
              <w:ind w:firstLine="0"/>
              <w:jc w:val="center"/>
              <w:rPr>
                <w:rFonts w:ascii="Verdana" w:hAnsi="Verdana"/>
                <w:b/>
                <w:sz w:val="16"/>
                <w:szCs w:val="16"/>
                <w:lang w:val="en-US"/>
              </w:rPr>
            </w:pPr>
            <w:r w:rsidRPr="00837D4A">
              <w:rPr>
                <w:rFonts w:ascii="Verdana" w:hAnsi="Verdana"/>
                <w:b/>
                <w:sz w:val="16"/>
                <w:szCs w:val="16"/>
                <w:lang w:val="en-US"/>
              </w:rPr>
              <w:t>Second Section</w:t>
            </w:r>
          </w:p>
        </w:tc>
      </w:tr>
      <w:tr w:rsidR="009849AC" w:rsidRPr="00D0180E" w14:paraId="72538ECE" w14:textId="6B738F8B" w:rsidTr="00F867DE">
        <w:tc>
          <w:tcPr>
            <w:tcW w:w="4711" w:type="dxa"/>
          </w:tcPr>
          <w:p w14:paraId="25F63B74" w14:textId="77777777" w:rsidR="009849AC" w:rsidRPr="00837D4A" w:rsidRDefault="009849AC" w:rsidP="009849AC">
            <w:pPr>
              <w:pStyle w:val="Texto"/>
              <w:spacing w:line="238" w:lineRule="exact"/>
              <w:ind w:firstLine="0"/>
              <w:jc w:val="center"/>
              <w:rPr>
                <w:rFonts w:ascii="Verdana" w:hAnsi="Verdana"/>
                <w:sz w:val="16"/>
                <w:szCs w:val="16"/>
                <w:lang w:val="es"/>
              </w:rPr>
            </w:pPr>
            <w:r w:rsidRPr="00837D4A">
              <w:rPr>
                <w:rFonts w:ascii="Verdana" w:hAnsi="Verdana"/>
                <w:b/>
                <w:sz w:val="16"/>
                <w:szCs w:val="16"/>
                <w:lang w:val="es"/>
              </w:rPr>
              <w:t>De la Intervención</w:t>
            </w:r>
          </w:p>
        </w:tc>
        <w:tc>
          <w:tcPr>
            <w:tcW w:w="4649" w:type="dxa"/>
          </w:tcPr>
          <w:p w14:paraId="4B56AFCC" w14:textId="5A85B875" w:rsidR="009849AC" w:rsidRPr="00837D4A" w:rsidRDefault="009849AC" w:rsidP="009849AC">
            <w:pPr>
              <w:pStyle w:val="Texto"/>
              <w:spacing w:line="238" w:lineRule="exact"/>
              <w:ind w:firstLine="0"/>
              <w:jc w:val="center"/>
              <w:rPr>
                <w:rFonts w:ascii="Verdana" w:hAnsi="Verdana"/>
                <w:b/>
                <w:sz w:val="16"/>
                <w:szCs w:val="16"/>
                <w:lang w:val="en-US"/>
              </w:rPr>
            </w:pPr>
            <w:r w:rsidRPr="00837D4A">
              <w:rPr>
                <w:rFonts w:ascii="Verdana" w:hAnsi="Verdana"/>
                <w:b/>
                <w:sz w:val="16"/>
                <w:szCs w:val="16"/>
                <w:lang w:val="en-US"/>
              </w:rPr>
              <w:t>Intervention</w:t>
            </w:r>
          </w:p>
        </w:tc>
      </w:tr>
      <w:tr w:rsidR="009849AC" w:rsidRPr="009E69D6" w14:paraId="5F9A9435" w14:textId="57A2F8F4" w:rsidTr="00F867DE">
        <w:tc>
          <w:tcPr>
            <w:tcW w:w="4711" w:type="dxa"/>
          </w:tcPr>
          <w:p w14:paraId="0A9A617C"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 xml:space="preserve">Artículo 317. </w:t>
            </w:r>
            <w:r w:rsidRPr="00837D4A">
              <w:rPr>
                <w:rFonts w:ascii="Verdana" w:hAnsi="Verdana"/>
                <w:sz w:val="16"/>
                <w:szCs w:val="16"/>
              </w:rPr>
              <w:t>La Secretaría o la Comisión, en el ámbito de sus competencias, pueden declarar la intervención cuando la persona Permisionaria incumpla sus obligaciones, por causas imputables a esta, y ponga en peligro grave el suministro de los Hidrocarburos, Petrolíferos o Petroquímicos relacionados con el objeto del permiso.</w:t>
            </w:r>
          </w:p>
        </w:tc>
        <w:tc>
          <w:tcPr>
            <w:tcW w:w="4649" w:type="dxa"/>
          </w:tcPr>
          <w:p w14:paraId="22358C4C" w14:textId="76D4DC1A"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317. </w:t>
            </w:r>
            <w:r w:rsidRPr="00837D4A">
              <w:rPr>
                <w:rFonts w:ascii="Verdana" w:hAnsi="Verdana"/>
                <w:sz w:val="16"/>
                <w:szCs w:val="16"/>
                <w:lang w:val="en-US"/>
              </w:rPr>
              <w:t>The Secretary or the Commission, within the scope of their powers, may declare intervention when the Permit Holder fails to comply with its obligations, for reasons attributable to it, and seriously endangers the supply of hydrocarbons, petroleum products or petrochemicals related to the subject of the permit.</w:t>
            </w:r>
          </w:p>
        </w:tc>
      </w:tr>
      <w:tr w:rsidR="009849AC" w:rsidRPr="009E69D6" w14:paraId="259E63A8" w14:textId="7B540969" w:rsidTr="00F867DE">
        <w:tc>
          <w:tcPr>
            <w:tcW w:w="4711" w:type="dxa"/>
          </w:tcPr>
          <w:p w14:paraId="48349E01" w14:textId="77777777" w:rsidR="009849AC" w:rsidRPr="00837D4A" w:rsidRDefault="009849AC" w:rsidP="009849AC">
            <w:pPr>
              <w:pStyle w:val="Texto"/>
              <w:spacing w:line="238" w:lineRule="exact"/>
              <w:ind w:firstLine="0"/>
              <w:rPr>
                <w:rFonts w:ascii="Verdana" w:hAnsi="Verdana"/>
                <w:sz w:val="16"/>
                <w:szCs w:val="16"/>
              </w:rPr>
            </w:pPr>
            <w:bookmarkStart w:id="11" w:name="OLE_LINK7"/>
            <w:r w:rsidRPr="00837D4A">
              <w:rPr>
                <w:rFonts w:ascii="Verdana" w:hAnsi="Verdana"/>
                <w:b/>
                <w:sz w:val="16"/>
                <w:szCs w:val="16"/>
                <w:lang w:val="es"/>
              </w:rPr>
              <w:t>Artículo 318.</w:t>
            </w:r>
            <w:r w:rsidRPr="00837D4A">
              <w:rPr>
                <w:rFonts w:ascii="Verdana" w:hAnsi="Verdana"/>
                <w:sz w:val="16"/>
                <w:szCs w:val="16"/>
                <w:lang w:val="es"/>
              </w:rPr>
              <w:t xml:space="preserve"> Se entiende por intervención la medida temporal mediante la cual la Secretaría o la Comisión, en el ámbito de sus competencias, </w:t>
            </w:r>
            <w:r w:rsidRPr="00837D4A">
              <w:rPr>
                <w:rFonts w:ascii="Verdana" w:hAnsi="Verdana"/>
                <w:sz w:val="16"/>
                <w:szCs w:val="16"/>
              </w:rPr>
              <w:t>se hacen cargo de la administración y operación de los bienes, derechos e instalaciones con las que la persona Permisionaria realiza la actividad o prestación del servicio, cuando se configuren los supuestos establecidos en el artículo anterior</w:t>
            </w:r>
            <w:r w:rsidRPr="00837D4A">
              <w:rPr>
                <w:rFonts w:ascii="Verdana" w:hAnsi="Verdana"/>
                <w:sz w:val="16"/>
                <w:szCs w:val="16"/>
                <w:lang w:val="es"/>
              </w:rPr>
              <w:t>.</w:t>
            </w:r>
            <w:bookmarkEnd w:id="11"/>
          </w:p>
        </w:tc>
        <w:tc>
          <w:tcPr>
            <w:tcW w:w="4649" w:type="dxa"/>
          </w:tcPr>
          <w:p w14:paraId="61F9FE20" w14:textId="2EC543EB"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318. </w:t>
            </w:r>
            <w:r w:rsidRPr="00837D4A">
              <w:rPr>
                <w:rFonts w:ascii="Verdana" w:hAnsi="Verdana"/>
                <w:sz w:val="16"/>
                <w:szCs w:val="16"/>
                <w:lang w:val="en-US"/>
              </w:rPr>
              <w:t>Intervention is understood to be the temporary measure by which the Secretary or the Commission, within the scope of their powers, take charge of the administration and operation of the assets, rights and facilities with which the Permit Holder carries out the activity or provides the service, when the assumptions established in the preceding article are configured.</w:t>
            </w:r>
          </w:p>
        </w:tc>
      </w:tr>
      <w:tr w:rsidR="009849AC" w:rsidRPr="009E69D6" w14:paraId="70191F6B" w14:textId="4E96EA90" w:rsidTr="00F867DE">
        <w:tc>
          <w:tcPr>
            <w:tcW w:w="4711" w:type="dxa"/>
          </w:tcPr>
          <w:p w14:paraId="4861EEF6"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 xml:space="preserve">Artículo 319. </w:t>
            </w:r>
            <w:r w:rsidRPr="00837D4A">
              <w:rPr>
                <w:rFonts w:ascii="Verdana" w:hAnsi="Verdana"/>
                <w:sz w:val="16"/>
                <w:szCs w:val="16"/>
              </w:rPr>
              <w:t xml:space="preserve">Para efectos de lo indicado por el artículo 92 de la Ley, si derivado del incumplimiento de las obligaciones de la persona Permisionaria, existan causas o motivos que pongan en peligro grave el suministro de los Hidrocarburos, Petrolíferos o Petroquímicos, la </w:t>
            </w:r>
            <w:r w:rsidRPr="00837D4A">
              <w:rPr>
                <w:rFonts w:ascii="Verdana" w:hAnsi="Verdana"/>
                <w:sz w:val="16"/>
                <w:szCs w:val="16"/>
                <w:lang w:val="es"/>
              </w:rPr>
              <w:lastRenderedPageBreak/>
              <w:t>S</w:t>
            </w:r>
            <w:proofErr w:type="spellStart"/>
            <w:r w:rsidRPr="00837D4A">
              <w:rPr>
                <w:rFonts w:ascii="Verdana" w:hAnsi="Verdana"/>
                <w:sz w:val="16"/>
                <w:szCs w:val="16"/>
              </w:rPr>
              <w:t>ecretaría</w:t>
            </w:r>
            <w:proofErr w:type="spellEnd"/>
            <w:r w:rsidRPr="00837D4A">
              <w:rPr>
                <w:rFonts w:ascii="Verdana" w:hAnsi="Verdana"/>
                <w:sz w:val="16"/>
                <w:szCs w:val="16"/>
              </w:rPr>
              <w:t xml:space="preserve"> o la Comisión,</w:t>
            </w:r>
            <w:r w:rsidRPr="00837D4A">
              <w:rPr>
                <w:rFonts w:ascii="Verdana" w:hAnsi="Verdana"/>
                <w:sz w:val="16"/>
                <w:szCs w:val="16"/>
                <w:lang w:val="es"/>
              </w:rPr>
              <w:t xml:space="preserve"> </w:t>
            </w:r>
            <w:r w:rsidRPr="00837D4A">
              <w:rPr>
                <w:rFonts w:ascii="Verdana" w:hAnsi="Verdana"/>
                <w:sz w:val="16"/>
                <w:szCs w:val="16"/>
              </w:rPr>
              <w:t>deben justificar la práctica de una intervención.</w:t>
            </w:r>
          </w:p>
        </w:tc>
        <w:tc>
          <w:tcPr>
            <w:tcW w:w="4649" w:type="dxa"/>
          </w:tcPr>
          <w:p w14:paraId="0EB18775" w14:textId="312EF0F0"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319. </w:t>
            </w:r>
            <w:r w:rsidRPr="00837D4A">
              <w:rPr>
                <w:rFonts w:ascii="Verdana" w:hAnsi="Verdana"/>
                <w:sz w:val="16"/>
                <w:szCs w:val="16"/>
                <w:lang w:val="en-US"/>
              </w:rPr>
              <w:t xml:space="preserve">For the purposes of what is indicated by article 92 of the Law, if derived from the non-compliance of the obligations of the Permit Holder, there are causes or reasons that seriously endanger the supply of Hydrocarbons, Petroleum Products or </w:t>
            </w:r>
            <w:r w:rsidRPr="00837D4A">
              <w:rPr>
                <w:rFonts w:ascii="Verdana" w:hAnsi="Verdana"/>
                <w:sz w:val="16"/>
                <w:szCs w:val="16"/>
                <w:lang w:val="en-US"/>
              </w:rPr>
              <w:lastRenderedPageBreak/>
              <w:t>Petrochemicals, the Secretary or the Commission must justify the performance of an intervention.</w:t>
            </w:r>
          </w:p>
        </w:tc>
      </w:tr>
      <w:tr w:rsidR="009849AC" w:rsidRPr="009E69D6" w14:paraId="70E810C1" w14:textId="4BA6519E" w:rsidTr="00F867DE">
        <w:tc>
          <w:tcPr>
            <w:tcW w:w="4711" w:type="dxa"/>
          </w:tcPr>
          <w:p w14:paraId="0ED733BA" w14:textId="77777777" w:rsidR="009849AC" w:rsidRPr="00837D4A" w:rsidRDefault="009849AC" w:rsidP="009849AC">
            <w:pPr>
              <w:pStyle w:val="Texto"/>
              <w:spacing w:line="238" w:lineRule="exact"/>
              <w:ind w:firstLine="0"/>
              <w:rPr>
                <w:rFonts w:ascii="Verdana" w:hAnsi="Verdana"/>
                <w:sz w:val="16"/>
                <w:szCs w:val="16"/>
                <w:lang w:val="es"/>
              </w:rPr>
            </w:pPr>
            <w:r w:rsidRPr="00837D4A">
              <w:rPr>
                <w:rFonts w:ascii="Verdana" w:hAnsi="Verdana"/>
                <w:sz w:val="16"/>
                <w:szCs w:val="16"/>
                <w:lang w:val="es"/>
              </w:rPr>
              <w:lastRenderedPageBreak/>
              <w:t>La autoridad que lleve a cabo la intervención debe precisar cuál es la información, documentación, hechos y circunstancias, que lo sustentan; además, dicha información debe cumplir con criterios de razonabilidad y objetividad.</w:t>
            </w:r>
          </w:p>
        </w:tc>
        <w:tc>
          <w:tcPr>
            <w:tcW w:w="4649" w:type="dxa"/>
          </w:tcPr>
          <w:p w14:paraId="46960A7E" w14:textId="5C6817BD"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The authority carrying out the intervention must specify the information, documentation, facts, and circumstances that support it; furthermore, said information must meet criteria of reasonableness and objectivity.</w:t>
            </w:r>
          </w:p>
        </w:tc>
      </w:tr>
      <w:tr w:rsidR="009849AC" w:rsidRPr="009E69D6" w14:paraId="18249202" w14:textId="051D536D" w:rsidTr="00F867DE">
        <w:tc>
          <w:tcPr>
            <w:tcW w:w="4711" w:type="dxa"/>
          </w:tcPr>
          <w:p w14:paraId="11D7A012"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Artículo 320.</w:t>
            </w:r>
            <w:r w:rsidRPr="00837D4A">
              <w:rPr>
                <w:rFonts w:ascii="Verdana" w:hAnsi="Verdana"/>
                <w:sz w:val="16"/>
                <w:szCs w:val="16"/>
              </w:rPr>
              <w:t xml:space="preserve"> La Secretaría o la Comisión, deben notificar a la persona Permisionaria la declaración de intervención, dentro de los diez días hábiles siguientes a su emisión, en el que se señale el plazo para que la persona Permisionaria subsane, desvirtúe, o bien, manifieste lo que a su derecho convenga y, en su caso, ofrezca las pruebas que considere pertinentes respecto al incumplimiento de mérito, el cual no puede ser mayor a quince días hábiles.</w:t>
            </w:r>
          </w:p>
        </w:tc>
        <w:tc>
          <w:tcPr>
            <w:tcW w:w="4649" w:type="dxa"/>
          </w:tcPr>
          <w:p w14:paraId="5116334B" w14:textId="0B73A94B"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Article 320. </w:t>
            </w:r>
            <w:r w:rsidRPr="00837D4A">
              <w:rPr>
                <w:rFonts w:ascii="Verdana" w:hAnsi="Verdana"/>
                <w:sz w:val="16"/>
                <w:szCs w:val="16"/>
                <w:lang w:val="en-US"/>
              </w:rPr>
              <w:t>The Secretary or the Commission must notify the Permit Holder of the declaration of intervention within ten business days following its issuance, in which the deadline for the Permit Holder to correct, refute, or otherwise state what is appropriate to his rights and, where appropriate, offer the evidence he considers pertinent regarding the non-compliance of merit is set, which may not exceed fifteen business days.</w:t>
            </w:r>
          </w:p>
        </w:tc>
      </w:tr>
      <w:tr w:rsidR="009849AC" w:rsidRPr="009E69D6" w14:paraId="3E70E885" w14:textId="5BBAB503" w:rsidTr="00F867DE">
        <w:tc>
          <w:tcPr>
            <w:tcW w:w="4711" w:type="dxa"/>
          </w:tcPr>
          <w:p w14:paraId="4E02046F" w14:textId="77777777" w:rsidR="009849AC" w:rsidRPr="00837D4A" w:rsidRDefault="009849AC" w:rsidP="009849AC">
            <w:pPr>
              <w:pStyle w:val="Texto"/>
              <w:spacing w:line="238" w:lineRule="exact"/>
              <w:ind w:firstLine="0"/>
              <w:rPr>
                <w:rFonts w:ascii="Verdana" w:hAnsi="Verdana"/>
                <w:sz w:val="16"/>
                <w:szCs w:val="16"/>
                <w:lang w:val="es"/>
              </w:rPr>
            </w:pPr>
            <w:r w:rsidRPr="00837D4A">
              <w:rPr>
                <w:rFonts w:ascii="Verdana" w:hAnsi="Verdana"/>
                <w:sz w:val="16"/>
                <w:szCs w:val="16"/>
              </w:rPr>
              <w:t xml:space="preserve">Una vez oída a la persona Permisionaria, desahogadas las pruebas ofrecidas y admitidas, la Secretaría o la Comisión, según corresponda, deben emitir su pronunciamiento en un término no mayor a treinta días hábiles y determinar si la persona Permisionaria corrigió o desvirtuó la causa o motivo que dio inicio al procedimiento de intervención. </w:t>
            </w:r>
            <w:r w:rsidRPr="00837D4A">
              <w:rPr>
                <w:rFonts w:ascii="Verdana" w:hAnsi="Verdana"/>
                <w:sz w:val="16"/>
                <w:szCs w:val="16"/>
                <w:lang w:val="es"/>
              </w:rPr>
              <w:t>En caso de que corrija o desvirtúe la causa o motivo que dio inicio al procedimiento de intervención, se debe archivar el asunto como totalmente concluido.</w:t>
            </w:r>
          </w:p>
        </w:tc>
        <w:tc>
          <w:tcPr>
            <w:tcW w:w="4649" w:type="dxa"/>
          </w:tcPr>
          <w:p w14:paraId="24BF1C18" w14:textId="7C3447AA"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Once the permit holder has been heard and the evidence offered and admitted has been presented, the Secretary or the Commission, as appropriate, must issue its ruling within no more than thirty business days and determine whether the permit holder has corrected or refuted the cause or reason that initiated the intervention procedure. If the permit holder has corrected or refuted the cause or reason that initiated the intervention procedure, the matter must be filed as fully concluded.</w:t>
            </w:r>
          </w:p>
        </w:tc>
      </w:tr>
      <w:tr w:rsidR="009849AC" w:rsidRPr="009E69D6" w14:paraId="4F17EF01" w14:textId="52A57CB0" w:rsidTr="00F867DE">
        <w:tc>
          <w:tcPr>
            <w:tcW w:w="4711" w:type="dxa"/>
          </w:tcPr>
          <w:p w14:paraId="0C951A20"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sz w:val="16"/>
                <w:szCs w:val="16"/>
              </w:rPr>
              <w:t xml:space="preserve">La resolución que confirme la causa o motivo de la </w:t>
            </w:r>
            <w:proofErr w:type="spellStart"/>
            <w:r w:rsidRPr="00837D4A">
              <w:rPr>
                <w:rFonts w:ascii="Verdana" w:hAnsi="Verdana"/>
                <w:sz w:val="16"/>
                <w:szCs w:val="16"/>
              </w:rPr>
              <w:t>int</w:t>
            </w:r>
            <w:r w:rsidRPr="00837D4A">
              <w:rPr>
                <w:rFonts w:ascii="Verdana" w:hAnsi="Verdana"/>
                <w:sz w:val="16"/>
                <w:szCs w:val="16"/>
                <w:lang w:val="es"/>
              </w:rPr>
              <w:t>ervención</w:t>
            </w:r>
            <w:proofErr w:type="spellEnd"/>
            <w:r w:rsidRPr="00837D4A">
              <w:rPr>
                <w:rFonts w:ascii="Verdana" w:hAnsi="Verdana"/>
                <w:sz w:val="16"/>
                <w:szCs w:val="16"/>
                <w:lang w:val="es"/>
              </w:rPr>
              <w:t xml:space="preserve"> </w:t>
            </w:r>
            <w:r w:rsidRPr="00837D4A">
              <w:rPr>
                <w:rFonts w:ascii="Verdana" w:hAnsi="Verdana"/>
                <w:sz w:val="16"/>
                <w:szCs w:val="16"/>
              </w:rPr>
              <w:t>debe notificarse en un plazo no mayor a diez días hábiles contado a partir de su emisión, la cual debe señalar el alcance, duración de la intervención, la fecha y hora para llevar a cabo la diligencia de intervención.</w:t>
            </w:r>
          </w:p>
        </w:tc>
        <w:tc>
          <w:tcPr>
            <w:tcW w:w="4649" w:type="dxa"/>
          </w:tcPr>
          <w:p w14:paraId="31AD6014" w14:textId="58CEC2E7"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The resolution confirming the cause or reason for the intervention must be notified within a period of no more than ten business days from its issuance, which must indicate the scope, duration of the intervention, the date and time to carry out the intervention procedure.</w:t>
            </w:r>
          </w:p>
        </w:tc>
      </w:tr>
      <w:tr w:rsidR="009849AC" w:rsidRPr="009E69D6" w14:paraId="71537759" w14:textId="634BA792" w:rsidTr="00F867DE">
        <w:tc>
          <w:tcPr>
            <w:tcW w:w="4711" w:type="dxa"/>
          </w:tcPr>
          <w:p w14:paraId="6438C7BD" w14:textId="77777777" w:rsidR="009849AC" w:rsidRPr="00837D4A" w:rsidRDefault="009849AC" w:rsidP="009849AC">
            <w:pPr>
              <w:pStyle w:val="Texto"/>
              <w:spacing w:line="232" w:lineRule="exact"/>
              <w:ind w:firstLine="0"/>
              <w:rPr>
                <w:rFonts w:ascii="Verdana" w:hAnsi="Verdana"/>
                <w:sz w:val="16"/>
                <w:szCs w:val="16"/>
                <w:lang w:val="es"/>
              </w:rPr>
            </w:pPr>
            <w:r w:rsidRPr="00837D4A">
              <w:rPr>
                <w:rFonts w:ascii="Verdana" w:hAnsi="Verdana"/>
                <w:sz w:val="16"/>
                <w:szCs w:val="16"/>
                <w:lang w:val="es"/>
              </w:rPr>
              <w:t>Lo anterior, sin perjuicio de las sanciones y responsabilidades en las que, en su caso, incurra la persona Permisionaria.</w:t>
            </w:r>
          </w:p>
        </w:tc>
        <w:tc>
          <w:tcPr>
            <w:tcW w:w="4649" w:type="dxa"/>
          </w:tcPr>
          <w:p w14:paraId="686870BE" w14:textId="0F17FA4D"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The foregoing, without prejudice to any sanctions and liabilities that the Permit Holder may incur, if applicable.</w:t>
            </w:r>
          </w:p>
        </w:tc>
      </w:tr>
      <w:tr w:rsidR="009849AC" w:rsidRPr="009E69D6" w14:paraId="3B8A0C98" w14:textId="09BA07A9" w:rsidTr="00F867DE">
        <w:tc>
          <w:tcPr>
            <w:tcW w:w="4711" w:type="dxa"/>
          </w:tcPr>
          <w:p w14:paraId="2A167B6F" w14:textId="77777777" w:rsidR="009849AC" w:rsidRPr="00837D4A" w:rsidRDefault="009849AC" w:rsidP="009849AC">
            <w:pPr>
              <w:pStyle w:val="Texto"/>
              <w:spacing w:line="232" w:lineRule="exact"/>
              <w:ind w:firstLine="0"/>
              <w:rPr>
                <w:rFonts w:ascii="Verdana" w:hAnsi="Verdana"/>
                <w:sz w:val="16"/>
                <w:szCs w:val="16"/>
                <w:lang w:val="es"/>
              </w:rPr>
            </w:pPr>
            <w:bookmarkStart w:id="12" w:name="OLE_LINK8"/>
            <w:r w:rsidRPr="00837D4A">
              <w:rPr>
                <w:rFonts w:ascii="Verdana" w:hAnsi="Verdana"/>
                <w:b/>
                <w:sz w:val="16"/>
                <w:szCs w:val="16"/>
              </w:rPr>
              <w:t xml:space="preserve">Artículo </w:t>
            </w:r>
            <w:r w:rsidRPr="00837D4A">
              <w:rPr>
                <w:rFonts w:ascii="Verdana" w:hAnsi="Verdana"/>
                <w:b/>
                <w:sz w:val="16"/>
                <w:szCs w:val="16"/>
                <w:lang w:val="es"/>
              </w:rPr>
              <w:t>321</w:t>
            </w:r>
            <w:r w:rsidRPr="00837D4A">
              <w:rPr>
                <w:rFonts w:ascii="Verdana" w:hAnsi="Verdana"/>
                <w:b/>
                <w:sz w:val="16"/>
                <w:szCs w:val="16"/>
              </w:rPr>
              <w:t>.</w:t>
            </w:r>
            <w:r w:rsidRPr="00837D4A">
              <w:rPr>
                <w:rFonts w:ascii="Verdana" w:hAnsi="Verdana"/>
                <w:sz w:val="16"/>
                <w:szCs w:val="16"/>
              </w:rPr>
              <w:t xml:space="preserve"> A partir del momento de emitir una resolución de intervención, la autoridad que la emitió puede optar por designar personas interventoras, utilizar al personal con el que la persona Permisionaria contaba previamente, contratar a una nueva persona operadora o una combinación de las anteriores, para la continuidad en la operación de las actividades.</w:t>
            </w:r>
            <w:bookmarkEnd w:id="12"/>
          </w:p>
        </w:tc>
        <w:tc>
          <w:tcPr>
            <w:tcW w:w="4649" w:type="dxa"/>
          </w:tcPr>
          <w:p w14:paraId="40C4A1AE" w14:textId="6EE16EE8"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321. </w:t>
            </w:r>
            <w:r w:rsidRPr="00837D4A">
              <w:rPr>
                <w:rFonts w:ascii="Verdana" w:hAnsi="Verdana"/>
                <w:sz w:val="16"/>
                <w:szCs w:val="16"/>
                <w:lang w:val="en-US"/>
              </w:rPr>
              <w:t>From the moment of issuing an intervention resolution, the issuing authority may choose to appoint intervening persons, use the personnel that the Permit Holder previously had, hire a new operator or a combination of the above, for the continuity in the operation of the activities.</w:t>
            </w:r>
          </w:p>
        </w:tc>
      </w:tr>
      <w:tr w:rsidR="009849AC" w:rsidRPr="009E69D6" w14:paraId="5D4BAF75" w14:textId="527B6E65" w:rsidTr="00F867DE">
        <w:tc>
          <w:tcPr>
            <w:tcW w:w="4711" w:type="dxa"/>
          </w:tcPr>
          <w:p w14:paraId="3A11F0B2"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sz w:val="16"/>
                <w:szCs w:val="16"/>
              </w:rPr>
              <w:t>Los elementos mínimos que debe contener la contratación referida en el párrafo anterior se deben establecer en la Normatividad que se emita para tal efecto.</w:t>
            </w:r>
          </w:p>
        </w:tc>
        <w:tc>
          <w:tcPr>
            <w:tcW w:w="4649" w:type="dxa"/>
          </w:tcPr>
          <w:p w14:paraId="6446FEE4" w14:textId="498938C9"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The minimum elements that the contract referred to in the preceding paragraph must contain must be established in the Regulation issued for this purpose.</w:t>
            </w:r>
          </w:p>
        </w:tc>
      </w:tr>
      <w:tr w:rsidR="009849AC" w:rsidRPr="009E69D6" w14:paraId="2D683370" w14:textId="12AD67BE" w:rsidTr="00F867DE">
        <w:tc>
          <w:tcPr>
            <w:tcW w:w="4711" w:type="dxa"/>
          </w:tcPr>
          <w:p w14:paraId="3B9710B1"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 xml:space="preserve">Artículo </w:t>
            </w:r>
            <w:r w:rsidRPr="00837D4A">
              <w:rPr>
                <w:rFonts w:ascii="Verdana" w:hAnsi="Verdana"/>
                <w:b/>
                <w:sz w:val="16"/>
                <w:szCs w:val="16"/>
                <w:lang w:val="es"/>
              </w:rPr>
              <w:t>322</w:t>
            </w:r>
            <w:r w:rsidRPr="00837D4A">
              <w:rPr>
                <w:rFonts w:ascii="Verdana" w:hAnsi="Verdana"/>
                <w:b/>
                <w:sz w:val="16"/>
                <w:szCs w:val="16"/>
              </w:rPr>
              <w:t>.</w:t>
            </w:r>
            <w:r w:rsidRPr="00837D4A">
              <w:rPr>
                <w:rFonts w:ascii="Verdana" w:hAnsi="Verdana"/>
                <w:sz w:val="16"/>
                <w:szCs w:val="16"/>
              </w:rPr>
              <w:t xml:space="preserve"> Las personas interventoras designadas deben contar con capacidad técnica y experiencia en el manejo y control de las instalaciones intervenidas, y pueden ser personas físicas o morales del sector público, privado o social, siempre que acrediten los requisitos </w:t>
            </w:r>
            <w:r w:rsidRPr="00837D4A">
              <w:rPr>
                <w:rFonts w:ascii="Verdana" w:hAnsi="Verdana"/>
                <w:sz w:val="16"/>
                <w:szCs w:val="16"/>
              </w:rPr>
              <w:lastRenderedPageBreak/>
              <w:t>que se establezcan en la Normatividad que se emita para tal efecto.</w:t>
            </w:r>
          </w:p>
        </w:tc>
        <w:tc>
          <w:tcPr>
            <w:tcW w:w="4649" w:type="dxa"/>
          </w:tcPr>
          <w:p w14:paraId="2171A19E" w14:textId="3464F64F"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322. </w:t>
            </w:r>
            <w:r w:rsidRPr="00837D4A">
              <w:rPr>
                <w:rFonts w:ascii="Verdana" w:hAnsi="Verdana"/>
                <w:bCs/>
                <w:sz w:val="16"/>
                <w:szCs w:val="16"/>
                <w:lang w:val="en-US"/>
              </w:rPr>
              <w:t>The designated auditors must have the technical capacity and experience in the management and control of the facilities being audited and</w:t>
            </w:r>
            <w:r w:rsidRPr="00837D4A">
              <w:rPr>
                <w:rFonts w:ascii="Verdana" w:hAnsi="Verdana"/>
                <w:sz w:val="16"/>
                <w:szCs w:val="16"/>
                <w:lang w:val="en-US"/>
              </w:rPr>
              <w:t xml:space="preserve"> may be individuals or legal entities from the public, private or </w:t>
            </w:r>
            <w:r w:rsidRPr="00837D4A">
              <w:rPr>
                <w:rFonts w:ascii="Verdana" w:hAnsi="Verdana"/>
                <w:sz w:val="16"/>
                <w:szCs w:val="16"/>
                <w:lang w:val="en-US"/>
              </w:rPr>
              <w:lastRenderedPageBreak/>
              <w:t>social sectors, provided they meet the requirements established in the legislation issued for this purpose.</w:t>
            </w:r>
          </w:p>
        </w:tc>
      </w:tr>
      <w:tr w:rsidR="009849AC" w:rsidRPr="009E69D6" w14:paraId="7B232053" w14:textId="1F51E9B7" w:rsidTr="00F867DE">
        <w:tc>
          <w:tcPr>
            <w:tcW w:w="4711" w:type="dxa"/>
          </w:tcPr>
          <w:p w14:paraId="118A2110"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lastRenderedPageBreak/>
              <w:t>Artículo 323.</w:t>
            </w:r>
            <w:r w:rsidRPr="00837D4A">
              <w:rPr>
                <w:rFonts w:ascii="Verdana" w:hAnsi="Verdana"/>
                <w:sz w:val="16"/>
                <w:szCs w:val="16"/>
              </w:rPr>
              <w:t xml:space="preserve"> Las personas interventoras designadas tienen al menos las siguientes obligaciones:</w:t>
            </w:r>
          </w:p>
        </w:tc>
        <w:tc>
          <w:tcPr>
            <w:tcW w:w="4649" w:type="dxa"/>
          </w:tcPr>
          <w:p w14:paraId="247FD79E" w14:textId="5205A425"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323. </w:t>
            </w:r>
            <w:r w:rsidRPr="00837D4A">
              <w:rPr>
                <w:rFonts w:ascii="Verdana" w:hAnsi="Verdana"/>
                <w:sz w:val="16"/>
                <w:szCs w:val="16"/>
                <w:lang w:val="en-US"/>
              </w:rPr>
              <w:t>The designated auditors have at least the following obligations:</w:t>
            </w:r>
          </w:p>
        </w:tc>
      </w:tr>
      <w:tr w:rsidR="009849AC" w:rsidRPr="009E69D6" w14:paraId="37E71C53" w14:textId="577F7C79" w:rsidTr="00F867DE">
        <w:tc>
          <w:tcPr>
            <w:tcW w:w="4711" w:type="dxa"/>
          </w:tcPr>
          <w:p w14:paraId="0D9C153A"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Administrar y operar temporalmente las actividades;</w:t>
            </w:r>
          </w:p>
        </w:tc>
        <w:tc>
          <w:tcPr>
            <w:tcW w:w="4649" w:type="dxa"/>
          </w:tcPr>
          <w:p w14:paraId="50D71103" w14:textId="3D7708F1"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Temporarily manage and operate the activities;</w:t>
            </w:r>
          </w:p>
        </w:tc>
      </w:tr>
      <w:tr w:rsidR="009849AC" w:rsidRPr="009E69D6" w14:paraId="1C62028F" w14:textId="65B47EDF" w:rsidTr="00F867DE">
        <w:tc>
          <w:tcPr>
            <w:tcW w:w="4711" w:type="dxa"/>
          </w:tcPr>
          <w:p w14:paraId="38367638"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Levantar un inventario de los bienes de la persona Permisionaria y remitirlo a la autoridad que llevo a cabo la intervención, dentro de los treinta días naturales siguientes a aquel en que haya tomado posesión de su encargo, junto con un plan de trabajo en el que se expresen las acciones a desarrollar para el ejercicio de su función;</w:t>
            </w:r>
          </w:p>
        </w:tc>
        <w:tc>
          <w:tcPr>
            <w:tcW w:w="4649" w:type="dxa"/>
          </w:tcPr>
          <w:p w14:paraId="58742899" w14:textId="5569F43D"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Draw up an inventory of the Permit Holder's assets and send it to the authority that carried out the intervention, within thirty calendar days following the date on which possession of the position was taken, together with a work plan in which the actions to be developed for the exercise of his function are expressed;</w:t>
            </w:r>
          </w:p>
        </w:tc>
      </w:tr>
      <w:tr w:rsidR="009849AC" w:rsidRPr="009E69D6" w14:paraId="2DAAEA2C" w14:textId="7B464B86" w:rsidTr="00F867DE">
        <w:tc>
          <w:tcPr>
            <w:tcW w:w="4711" w:type="dxa"/>
          </w:tcPr>
          <w:p w14:paraId="7708F4F9"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Utilizar el personal y recursos de la persona Permisionaria;</w:t>
            </w:r>
          </w:p>
        </w:tc>
        <w:tc>
          <w:tcPr>
            <w:tcW w:w="4649" w:type="dxa"/>
          </w:tcPr>
          <w:p w14:paraId="52CC3AA1" w14:textId="5A7CE18D"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Use the personnel and resources of the Permit Holder;</w:t>
            </w:r>
          </w:p>
        </w:tc>
      </w:tr>
      <w:tr w:rsidR="009849AC" w:rsidRPr="004A2321" w14:paraId="704761BE" w14:textId="7FF22281" w:rsidTr="00F867DE">
        <w:tc>
          <w:tcPr>
            <w:tcW w:w="4711" w:type="dxa"/>
          </w:tcPr>
          <w:p w14:paraId="10E65B40"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Dar cuenta a la autoridad que llevó a cabo la intervención de manera trimestral a partir de su designación respecto de los avances alcanzados conforme a su plan de trabajo;</w:t>
            </w:r>
          </w:p>
        </w:tc>
        <w:tc>
          <w:tcPr>
            <w:tcW w:w="4649" w:type="dxa"/>
          </w:tcPr>
          <w:p w14:paraId="07229DE9" w14:textId="03E5D463"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Report to the authority that carried out the intervention on a quarterly basis from the date of its appointment regarding the progress achieved in accordance with its work plan;</w:t>
            </w:r>
          </w:p>
        </w:tc>
      </w:tr>
      <w:tr w:rsidR="009849AC" w:rsidRPr="004A2321" w14:paraId="564C944A" w14:textId="5610AE9D" w:rsidTr="00F867DE">
        <w:tc>
          <w:tcPr>
            <w:tcW w:w="4711" w:type="dxa"/>
          </w:tcPr>
          <w:p w14:paraId="7D7D9867"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Formular un informe final de su gestión, sobre la situación financiera, contable, legal, económica y administrativa, el cual debe incluir las acciones realizadas durante la intervención, y</w:t>
            </w:r>
          </w:p>
        </w:tc>
        <w:tc>
          <w:tcPr>
            <w:tcW w:w="4649" w:type="dxa"/>
          </w:tcPr>
          <w:p w14:paraId="59079500" w14:textId="23119E9A"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Formulate a final report of its management, on the financial, accounting, legal, economic and administrative situation, which must include the actions carried out during the intervention, and</w:t>
            </w:r>
          </w:p>
        </w:tc>
      </w:tr>
      <w:tr w:rsidR="009849AC" w:rsidRPr="004A2321" w14:paraId="3771B3CB" w14:textId="12EC0448" w:rsidTr="00F867DE">
        <w:tc>
          <w:tcPr>
            <w:tcW w:w="4711" w:type="dxa"/>
          </w:tcPr>
          <w:p w14:paraId="52E1B1E0"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Las demás que se establezcan en la Normatividad aplicable.</w:t>
            </w:r>
          </w:p>
        </w:tc>
        <w:tc>
          <w:tcPr>
            <w:tcW w:w="4649" w:type="dxa"/>
          </w:tcPr>
          <w:p w14:paraId="036D0B7C" w14:textId="6C2F3CB0"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Others established in the applicable legislation.</w:t>
            </w:r>
          </w:p>
        </w:tc>
      </w:tr>
      <w:tr w:rsidR="009849AC" w:rsidRPr="004A2321" w14:paraId="6CED6382" w14:textId="095E58E9" w:rsidTr="00F867DE">
        <w:tc>
          <w:tcPr>
            <w:tcW w:w="4711" w:type="dxa"/>
          </w:tcPr>
          <w:p w14:paraId="200B4F49"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sz w:val="16"/>
                <w:szCs w:val="16"/>
              </w:rPr>
              <w:t xml:space="preserve">En caso de incumplir las presentes obligaciones la autoridad </w:t>
            </w:r>
            <w:r w:rsidRPr="00837D4A">
              <w:rPr>
                <w:rFonts w:ascii="Verdana" w:hAnsi="Verdana"/>
                <w:sz w:val="16"/>
                <w:szCs w:val="16"/>
                <w:lang w:val="es"/>
              </w:rPr>
              <w:t>que llevó a cabo la intervención</w:t>
            </w:r>
            <w:r w:rsidRPr="00837D4A">
              <w:rPr>
                <w:rFonts w:ascii="Verdana" w:hAnsi="Verdana"/>
                <w:sz w:val="16"/>
                <w:szCs w:val="16"/>
              </w:rPr>
              <w:t xml:space="preserve"> puede revocar libremente la designación de la persona interventora en los términos</w:t>
            </w:r>
            <w:r w:rsidRPr="00837D4A">
              <w:rPr>
                <w:rFonts w:ascii="Verdana" w:hAnsi="Verdana"/>
                <w:b/>
                <w:sz w:val="16"/>
                <w:szCs w:val="16"/>
              </w:rPr>
              <w:t xml:space="preserve"> </w:t>
            </w:r>
            <w:r w:rsidRPr="00837D4A">
              <w:rPr>
                <w:rFonts w:ascii="Verdana" w:hAnsi="Verdana"/>
                <w:sz w:val="16"/>
                <w:szCs w:val="16"/>
              </w:rPr>
              <w:t>de la Normatividad que se emita para tal efecto y, en consecuencia, debe sustituirla inmediatamente.</w:t>
            </w:r>
          </w:p>
        </w:tc>
        <w:tc>
          <w:tcPr>
            <w:tcW w:w="4649" w:type="dxa"/>
          </w:tcPr>
          <w:p w14:paraId="0385935A" w14:textId="379D11E2"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In case of non-compliance with these obligations, the authority that carried out the intervention may freely revoke the designation of the intervening person in the terms</w:t>
            </w:r>
            <w:r w:rsidRPr="00837D4A">
              <w:rPr>
                <w:rFonts w:ascii="Verdana" w:hAnsi="Verdana"/>
                <w:b/>
                <w:sz w:val="16"/>
                <w:szCs w:val="16"/>
                <w:lang w:val="en-US"/>
              </w:rPr>
              <w:t xml:space="preserve"> </w:t>
            </w:r>
            <w:r w:rsidRPr="00837D4A">
              <w:rPr>
                <w:rFonts w:ascii="Verdana" w:hAnsi="Verdana"/>
                <w:sz w:val="16"/>
                <w:szCs w:val="16"/>
                <w:lang w:val="en-US"/>
              </w:rPr>
              <w:t>of the legislation issued for this purpose and, consequently, must immediately replace them.</w:t>
            </w:r>
          </w:p>
        </w:tc>
      </w:tr>
      <w:tr w:rsidR="009849AC" w:rsidRPr="004A2321" w14:paraId="689831E7" w14:textId="367299B8" w:rsidTr="00F867DE">
        <w:tc>
          <w:tcPr>
            <w:tcW w:w="4711" w:type="dxa"/>
          </w:tcPr>
          <w:p w14:paraId="6A0F50B5"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Artículo 324.</w:t>
            </w:r>
            <w:r w:rsidRPr="00837D4A">
              <w:rPr>
                <w:rFonts w:ascii="Verdana" w:hAnsi="Verdana"/>
                <w:sz w:val="16"/>
                <w:szCs w:val="16"/>
              </w:rPr>
              <w:t xml:space="preserve"> Las personas interventoras designadas pueden llevar a cabo al menos lo siguiente:</w:t>
            </w:r>
          </w:p>
        </w:tc>
        <w:tc>
          <w:tcPr>
            <w:tcW w:w="4649" w:type="dxa"/>
          </w:tcPr>
          <w:p w14:paraId="65800042" w14:textId="0F6C0565"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324. </w:t>
            </w:r>
            <w:r w:rsidRPr="00837D4A">
              <w:rPr>
                <w:rFonts w:ascii="Verdana" w:hAnsi="Verdana"/>
                <w:sz w:val="16"/>
                <w:szCs w:val="16"/>
                <w:lang w:val="en-US"/>
              </w:rPr>
              <w:t>The designated auditors may carry out at least the following:</w:t>
            </w:r>
          </w:p>
        </w:tc>
      </w:tr>
      <w:tr w:rsidR="009849AC" w:rsidRPr="004A2321" w14:paraId="14ABD666" w14:textId="7A96CAB3" w:rsidTr="00F867DE">
        <w:tc>
          <w:tcPr>
            <w:tcW w:w="4711" w:type="dxa"/>
          </w:tcPr>
          <w:p w14:paraId="31BF5851"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Contratar nuevo personal u operadores, previa autorización de la autoridad que resolvió la intervención;</w:t>
            </w:r>
          </w:p>
        </w:tc>
        <w:tc>
          <w:tcPr>
            <w:tcW w:w="4649" w:type="dxa"/>
          </w:tcPr>
          <w:p w14:paraId="05EB365C" w14:textId="3E17A632"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Hire new personnel or operators, subject to authorization from the authority that resolved the intervention;</w:t>
            </w:r>
          </w:p>
        </w:tc>
      </w:tr>
      <w:tr w:rsidR="009849AC" w:rsidRPr="004A2321" w14:paraId="5D54E84F" w14:textId="2B910851" w:rsidTr="00F867DE">
        <w:tc>
          <w:tcPr>
            <w:tcW w:w="4711" w:type="dxa"/>
          </w:tcPr>
          <w:p w14:paraId="1F4CB8A9"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Utilizar el personal y recursos de la persona Permisionaria, y</w:t>
            </w:r>
          </w:p>
        </w:tc>
        <w:tc>
          <w:tcPr>
            <w:tcW w:w="4649" w:type="dxa"/>
          </w:tcPr>
          <w:p w14:paraId="75F8DB4C" w14:textId="2C4F8FFA"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Use the staff and resources of the Permit Holder, and</w:t>
            </w:r>
          </w:p>
        </w:tc>
      </w:tr>
      <w:tr w:rsidR="009849AC" w:rsidRPr="004A2321" w14:paraId="300B4B30" w14:textId="6701E493" w:rsidTr="00F867DE">
        <w:tc>
          <w:tcPr>
            <w:tcW w:w="4711" w:type="dxa"/>
          </w:tcPr>
          <w:p w14:paraId="1D611264" w14:textId="77777777" w:rsidR="009849AC" w:rsidRPr="00837D4A" w:rsidRDefault="009849AC" w:rsidP="009849AC">
            <w:pPr>
              <w:pStyle w:val="Texto"/>
              <w:spacing w:line="232"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Las demás que se establezcan en la Normatividad que se emita para tal efecto.</w:t>
            </w:r>
          </w:p>
        </w:tc>
        <w:tc>
          <w:tcPr>
            <w:tcW w:w="4649" w:type="dxa"/>
          </w:tcPr>
          <w:p w14:paraId="4EAABFE1" w14:textId="15D48608"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Others established in the Regulation issued for this purpose.</w:t>
            </w:r>
          </w:p>
        </w:tc>
      </w:tr>
      <w:tr w:rsidR="009849AC" w:rsidRPr="004A2321" w14:paraId="6ED3FC3F" w14:textId="07900AD6" w:rsidTr="00F867DE">
        <w:tc>
          <w:tcPr>
            <w:tcW w:w="4711" w:type="dxa"/>
          </w:tcPr>
          <w:p w14:paraId="3C504781"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sz w:val="16"/>
                <w:szCs w:val="16"/>
                <w:lang w:val="es"/>
              </w:rPr>
              <w:t>En caso de que la autoridad que llevó a cabo la intervención no dé respuesta a la solicitud de autorización para contratar nuevo personal u operadores en un plazo de quince días hábiles, esta se entiende en sentido negativo.</w:t>
            </w:r>
          </w:p>
        </w:tc>
        <w:tc>
          <w:tcPr>
            <w:tcW w:w="4649" w:type="dxa"/>
          </w:tcPr>
          <w:p w14:paraId="3BFC5D07" w14:textId="28CE04CE"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If the authority that carried out the intervention does not respond to the request for authorization to hire new personnel or operators within fifteen business days, this will be considered negative.</w:t>
            </w:r>
          </w:p>
        </w:tc>
      </w:tr>
      <w:tr w:rsidR="009849AC" w:rsidRPr="004A2321" w14:paraId="50438F7C" w14:textId="5B89B29A" w:rsidTr="00F867DE">
        <w:tc>
          <w:tcPr>
            <w:tcW w:w="4711" w:type="dxa"/>
          </w:tcPr>
          <w:p w14:paraId="5580FBAA"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rPr>
              <w:t>Artículo 325.</w:t>
            </w:r>
            <w:r w:rsidRPr="00837D4A">
              <w:rPr>
                <w:rFonts w:ascii="Verdana" w:hAnsi="Verdana"/>
                <w:sz w:val="16"/>
                <w:szCs w:val="16"/>
              </w:rPr>
              <w:t xml:space="preserve"> Los honorarios y gastos que se generen derivados de la intervención se deben cubrir con cargo a los ingresos de la persona Permisionaria conforme a la Normatividad que se emita para tal efecto.</w:t>
            </w:r>
          </w:p>
        </w:tc>
        <w:tc>
          <w:tcPr>
            <w:tcW w:w="4649" w:type="dxa"/>
          </w:tcPr>
          <w:p w14:paraId="4C95AEB6" w14:textId="76EA9358"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325. </w:t>
            </w:r>
            <w:r w:rsidRPr="00837D4A">
              <w:rPr>
                <w:rFonts w:ascii="Verdana" w:hAnsi="Verdana"/>
                <w:sz w:val="16"/>
                <w:szCs w:val="16"/>
                <w:lang w:val="en-US"/>
              </w:rPr>
              <w:t>Fees and expenses arising from the intervention must be covered by the Permit Holder's income in accordance with the legislation issued for this purpose.</w:t>
            </w:r>
          </w:p>
        </w:tc>
      </w:tr>
      <w:tr w:rsidR="009849AC" w:rsidRPr="004A2321" w14:paraId="36B73133" w14:textId="255C641F" w:rsidTr="00F867DE">
        <w:tc>
          <w:tcPr>
            <w:tcW w:w="4711" w:type="dxa"/>
          </w:tcPr>
          <w:p w14:paraId="4AE46302" w14:textId="77777777" w:rsidR="009849AC" w:rsidRPr="00837D4A" w:rsidRDefault="009849AC" w:rsidP="009849AC">
            <w:pPr>
              <w:pStyle w:val="Texto"/>
              <w:spacing w:line="232" w:lineRule="exact"/>
              <w:ind w:firstLine="0"/>
              <w:rPr>
                <w:rFonts w:ascii="Verdana" w:hAnsi="Verdana"/>
                <w:sz w:val="16"/>
                <w:szCs w:val="16"/>
                <w:lang w:val="es"/>
              </w:rPr>
            </w:pPr>
            <w:r w:rsidRPr="00837D4A">
              <w:rPr>
                <w:rFonts w:ascii="Verdana" w:hAnsi="Verdana"/>
                <w:b/>
                <w:sz w:val="16"/>
                <w:szCs w:val="16"/>
              </w:rPr>
              <w:lastRenderedPageBreak/>
              <w:t xml:space="preserve">Artículo </w:t>
            </w:r>
            <w:r w:rsidRPr="00837D4A">
              <w:rPr>
                <w:rFonts w:ascii="Verdana" w:hAnsi="Verdana"/>
                <w:b/>
                <w:sz w:val="16"/>
                <w:szCs w:val="16"/>
                <w:lang w:val="es"/>
              </w:rPr>
              <w:t>326</w:t>
            </w:r>
            <w:r w:rsidRPr="00837D4A">
              <w:rPr>
                <w:rFonts w:ascii="Verdana" w:hAnsi="Verdana"/>
                <w:b/>
                <w:sz w:val="16"/>
                <w:szCs w:val="16"/>
              </w:rPr>
              <w:t>.</w:t>
            </w:r>
            <w:r w:rsidRPr="00837D4A">
              <w:rPr>
                <w:rFonts w:ascii="Verdana" w:hAnsi="Verdana"/>
                <w:sz w:val="16"/>
                <w:szCs w:val="16"/>
              </w:rPr>
              <w:t xml:space="preserve"> La intervención no puede exceder de treinta y seis meses.</w:t>
            </w:r>
          </w:p>
        </w:tc>
        <w:tc>
          <w:tcPr>
            <w:tcW w:w="4649" w:type="dxa"/>
          </w:tcPr>
          <w:p w14:paraId="6479B13B" w14:textId="1EE15A29"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326. </w:t>
            </w:r>
            <w:r w:rsidRPr="00837D4A">
              <w:rPr>
                <w:rFonts w:ascii="Verdana" w:hAnsi="Verdana"/>
                <w:sz w:val="16"/>
                <w:szCs w:val="16"/>
                <w:lang w:val="en-US"/>
              </w:rPr>
              <w:t>The intervention may not exceed thirty-six months.</w:t>
            </w:r>
          </w:p>
        </w:tc>
      </w:tr>
      <w:tr w:rsidR="009849AC" w:rsidRPr="004A2321" w14:paraId="3CAE3013" w14:textId="2B911893" w:rsidTr="00F867DE">
        <w:tc>
          <w:tcPr>
            <w:tcW w:w="4711" w:type="dxa"/>
          </w:tcPr>
          <w:p w14:paraId="2CE73377" w14:textId="77777777" w:rsidR="009849AC" w:rsidRPr="00837D4A" w:rsidRDefault="009849AC" w:rsidP="009849AC">
            <w:pPr>
              <w:pStyle w:val="Texto"/>
              <w:spacing w:line="232" w:lineRule="exact"/>
              <w:ind w:firstLine="0"/>
              <w:rPr>
                <w:rFonts w:ascii="Verdana" w:hAnsi="Verdana"/>
                <w:sz w:val="16"/>
                <w:szCs w:val="16"/>
                <w:lang w:val="es"/>
              </w:rPr>
            </w:pPr>
            <w:r w:rsidRPr="00837D4A">
              <w:rPr>
                <w:rFonts w:ascii="Verdana" w:hAnsi="Verdana"/>
                <w:sz w:val="16"/>
                <w:szCs w:val="16"/>
                <w:lang w:val="es"/>
              </w:rPr>
              <w:t>La intervención puede ser prorrogada, por periodos no mayores a seis meses, siempre y cuando entre el plazo inicial y el total de las prórrogas no exceda el término señalado en el párrafo anterior.</w:t>
            </w:r>
          </w:p>
        </w:tc>
        <w:tc>
          <w:tcPr>
            <w:tcW w:w="4649" w:type="dxa"/>
          </w:tcPr>
          <w:p w14:paraId="786887B4" w14:textId="2FFC1F15"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The intervention may be extended for periods of no more than six months, provided that the initial period and the total number of extensions do not exceed the period specified in the preceding paragraph.</w:t>
            </w:r>
          </w:p>
        </w:tc>
      </w:tr>
      <w:tr w:rsidR="009849AC" w:rsidRPr="004A2321" w14:paraId="53F533C1" w14:textId="5D2B0F75" w:rsidTr="00F867DE">
        <w:tc>
          <w:tcPr>
            <w:tcW w:w="4711" w:type="dxa"/>
          </w:tcPr>
          <w:p w14:paraId="01772C90" w14:textId="77777777" w:rsidR="009849AC" w:rsidRPr="00837D4A" w:rsidRDefault="009849AC" w:rsidP="009849AC">
            <w:pPr>
              <w:pStyle w:val="Texto"/>
              <w:spacing w:line="232" w:lineRule="exact"/>
              <w:ind w:firstLine="0"/>
              <w:rPr>
                <w:rFonts w:ascii="Verdana" w:hAnsi="Verdana"/>
                <w:sz w:val="16"/>
                <w:szCs w:val="16"/>
                <w:lang w:val="es"/>
              </w:rPr>
            </w:pPr>
            <w:r w:rsidRPr="00837D4A">
              <w:rPr>
                <w:rFonts w:ascii="Verdana" w:hAnsi="Verdana"/>
                <w:sz w:val="16"/>
                <w:szCs w:val="16"/>
                <w:lang w:val="es"/>
              </w:rPr>
              <w:t>Para que opere la prórroga la autoridad debe determinarla previo a los quince días naturales al fenecimiento del plazo inicial o su prórroga, cuando persistan las causas que dieron origen a la intervención.</w:t>
            </w:r>
          </w:p>
        </w:tc>
        <w:tc>
          <w:tcPr>
            <w:tcW w:w="4649" w:type="dxa"/>
          </w:tcPr>
          <w:p w14:paraId="57FCDA23" w14:textId="259C745F" w:rsidR="009849AC" w:rsidRPr="00837D4A" w:rsidRDefault="009849AC" w:rsidP="009849AC">
            <w:pPr>
              <w:pStyle w:val="Texto"/>
              <w:spacing w:line="232" w:lineRule="exact"/>
              <w:ind w:firstLine="0"/>
              <w:rPr>
                <w:rFonts w:ascii="Verdana" w:hAnsi="Verdana"/>
                <w:sz w:val="16"/>
                <w:szCs w:val="16"/>
                <w:lang w:val="en-US"/>
              </w:rPr>
            </w:pPr>
            <w:r w:rsidRPr="00837D4A">
              <w:rPr>
                <w:rFonts w:ascii="Verdana" w:hAnsi="Verdana"/>
                <w:sz w:val="16"/>
                <w:szCs w:val="16"/>
                <w:lang w:val="en-US"/>
              </w:rPr>
              <w:t>For the extension to take effect, the authority must determine it within fifteen calendar days of the expiration of the initial period or its extension, if the causes that gave rise to the intervention persist.</w:t>
            </w:r>
          </w:p>
        </w:tc>
      </w:tr>
      <w:tr w:rsidR="009849AC" w:rsidRPr="004A2321" w14:paraId="2B4C6F57" w14:textId="1A495A5E" w:rsidTr="00F867DE">
        <w:tc>
          <w:tcPr>
            <w:tcW w:w="4711" w:type="dxa"/>
          </w:tcPr>
          <w:p w14:paraId="00CF49BC" w14:textId="77777777" w:rsidR="009849AC" w:rsidRPr="00837D4A" w:rsidRDefault="009849AC" w:rsidP="009849AC">
            <w:pPr>
              <w:pStyle w:val="Texto"/>
              <w:spacing w:line="232" w:lineRule="exact"/>
              <w:ind w:firstLine="0"/>
              <w:rPr>
                <w:rFonts w:ascii="Verdana" w:hAnsi="Verdana"/>
                <w:sz w:val="16"/>
                <w:szCs w:val="16"/>
              </w:rPr>
            </w:pPr>
            <w:r w:rsidRPr="00837D4A">
              <w:rPr>
                <w:rFonts w:ascii="Verdana" w:hAnsi="Verdana"/>
                <w:b/>
                <w:sz w:val="16"/>
                <w:szCs w:val="16"/>
                <w:lang w:val="es"/>
              </w:rPr>
              <w:t xml:space="preserve">Artículo 327. </w:t>
            </w:r>
            <w:r w:rsidRPr="00837D4A">
              <w:rPr>
                <w:rFonts w:ascii="Verdana" w:hAnsi="Verdana"/>
                <w:sz w:val="16"/>
                <w:szCs w:val="16"/>
                <w:lang w:val="es"/>
              </w:rPr>
              <w:t>Transcurrido el plazo máximo de la intervención, sin que la persona Permisionaria esté en condiciones de continuar con sus obligaciones objeto del permiso, se debe estar a lo previsto en el artículo 93 de la Ley.</w:t>
            </w:r>
          </w:p>
        </w:tc>
        <w:tc>
          <w:tcPr>
            <w:tcW w:w="4649" w:type="dxa"/>
          </w:tcPr>
          <w:p w14:paraId="0B1C7FF9" w14:textId="7E2929A3" w:rsidR="009849AC" w:rsidRPr="00837D4A" w:rsidRDefault="009849AC" w:rsidP="009849AC">
            <w:pPr>
              <w:pStyle w:val="Texto"/>
              <w:spacing w:line="232" w:lineRule="exact"/>
              <w:ind w:firstLine="0"/>
              <w:rPr>
                <w:rFonts w:ascii="Verdana" w:hAnsi="Verdana"/>
                <w:b/>
                <w:sz w:val="16"/>
                <w:szCs w:val="16"/>
                <w:lang w:val="en-US"/>
              </w:rPr>
            </w:pPr>
            <w:r w:rsidRPr="00837D4A">
              <w:rPr>
                <w:rFonts w:ascii="Verdana" w:hAnsi="Verdana"/>
                <w:b/>
                <w:sz w:val="16"/>
                <w:szCs w:val="16"/>
                <w:lang w:val="en-US"/>
              </w:rPr>
              <w:t xml:space="preserve">Article 327. </w:t>
            </w:r>
            <w:r w:rsidRPr="00837D4A">
              <w:rPr>
                <w:rFonts w:ascii="Verdana" w:hAnsi="Verdana"/>
                <w:sz w:val="16"/>
                <w:szCs w:val="16"/>
                <w:lang w:val="en-US"/>
              </w:rPr>
              <w:t>Once the maximum period of intervention has elapsed, and the Permit Holder is not in a position to continue with the obligations under the permit, the provisions of Article 93 of the Law shall apply.</w:t>
            </w:r>
          </w:p>
        </w:tc>
      </w:tr>
      <w:tr w:rsidR="009849AC" w:rsidRPr="004A2321" w14:paraId="05B8386C" w14:textId="5F66334B" w:rsidTr="00F867DE">
        <w:tc>
          <w:tcPr>
            <w:tcW w:w="4711" w:type="dxa"/>
          </w:tcPr>
          <w:p w14:paraId="2E581F5F"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w:t>
            </w:r>
            <w:r w:rsidRPr="00837D4A">
              <w:rPr>
                <w:rFonts w:ascii="Verdana" w:hAnsi="Verdana"/>
                <w:b/>
                <w:sz w:val="16"/>
                <w:szCs w:val="16"/>
                <w:lang w:val="es"/>
              </w:rPr>
              <w:t>328</w:t>
            </w:r>
            <w:r w:rsidRPr="00837D4A">
              <w:rPr>
                <w:rFonts w:ascii="Verdana" w:hAnsi="Verdana"/>
                <w:b/>
                <w:sz w:val="16"/>
                <w:szCs w:val="16"/>
              </w:rPr>
              <w:t>.</w:t>
            </w:r>
            <w:r w:rsidRPr="00837D4A">
              <w:rPr>
                <w:rFonts w:ascii="Verdana" w:hAnsi="Verdana"/>
                <w:sz w:val="16"/>
                <w:szCs w:val="16"/>
              </w:rPr>
              <w:t xml:space="preserve"> La persona Permisionaria puede solicitar la terminación anticipada de la intervención, cuando acredite la subsanación o erradicación de las causas que le dieron origen.</w:t>
            </w:r>
          </w:p>
        </w:tc>
        <w:tc>
          <w:tcPr>
            <w:tcW w:w="4649" w:type="dxa"/>
          </w:tcPr>
          <w:p w14:paraId="6ECABB28" w14:textId="067B559A"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328. </w:t>
            </w:r>
            <w:r w:rsidRPr="00837D4A">
              <w:rPr>
                <w:rFonts w:ascii="Verdana" w:hAnsi="Verdana"/>
                <w:sz w:val="16"/>
                <w:szCs w:val="16"/>
                <w:lang w:val="en-US"/>
              </w:rPr>
              <w:t>The Permit Holder may request early termination of the intervention when he or she can prove that the causes that gave rise to it have been corrected or eradicated.</w:t>
            </w:r>
          </w:p>
        </w:tc>
      </w:tr>
      <w:tr w:rsidR="009849AC" w:rsidRPr="004A2321" w14:paraId="07CD5B98" w14:textId="727AD17C" w:rsidTr="00F867DE">
        <w:tc>
          <w:tcPr>
            <w:tcW w:w="4711" w:type="dxa"/>
          </w:tcPr>
          <w:p w14:paraId="07594C36" w14:textId="77777777" w:rsidR="009849AC" w:rsidRPr="00837D4A" w:rsidRDefault="009849AC" w:rsidP="009849AC">
            <w:pPr>
              <w:pStyle w:val="Texto"/>
              <w:spacing w:line="220" w:lineRule="exact"/>
              <w:ind w:firstLine="0"/>
              <w:rPr>
                <w:rFonts w:ascii="Verdana" w:hAnsi="Verdana"/>
                <w:sz w:val="16"/>
                <w:szCs w:val="16"/>
                <w:lang w:val="es"/>
              </w:rPr>
            </w:pPr>
            <w:r w:rsidRPr="00837D4A">
              <w:rPr>
                <w:rFonts w:ascii="Verdana" w:hAnsi="Verdana"/>
                <w:sz w:val="16"/>
                <w:szCs w:val="16"/>
              </w:rPr>
              <w:t xml:space="preserve">La autoridad que llevó a </w:t>
            </w:r>
            <w:proofErr w:type="spellStart"/>
            <w:r w:rsidRPr="00837D4A">
              <w:rPr>
                <w:rFonts w:ascii="Verdana" w:hAnsi="Verdana"/>
                <w:sz w:val="16"/>
                <w:szCs w:val="16"/>
              </w:rPr>
              <w:t>cab</w:t>
            </w:r>
            <w:proofErr w:type="spellEnd"/>
            <w:r w:rsidRPr="00837D4A">
              <w:rPr>
                <w:rFonts w:ascii="Verdana" w:hAnsi="Verdana"/>
                <w:sz w:val="16"/>
                <w:szCs w:val="16"/>
                <w:lang w:val="es"/>
              </w:rPr>
              <w:t xml:space="preserve">o la intervención </w:t>
            </w:r>
            <w:r w:rsidRPr="00837D4A">
              <w:rPr>
                <w:rFonts w:ascii="Verdana" w:hAnsi="Verdana"/>
                <w:sz w:val="16"/>
                <w:szCs w:val="16"/>
              </w:rPr>
              <w:t>debe evaluar y resolver dicha solicitud en un plazo no mayor a veinte días hábiles contado a partir de que la persona Permisionaria notifique la subsanación o erradicación de las causas que originaron la intervención. En caso de no emitirse una resolución por parte de la autoridad que llevó a cabo la intervención dentro del plazo establecido para ello, debe entenderse en sentido negativo.</w:t>
            </w:r>
          </w:p>
        </w:tc>
        <w:tc>
          <w:tcPr>
            <w:tcW w:w="4649" w:type="dxa"/>
          </w:tcPr>
          <w:p w14:paraId="6CC367DF" w14:textId="10179200"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authority that carried out the intervention must evaluate and resolve the request within a period of no more than twenty business days from the date the permit holder notifies that the causes that led to the intervention have been corrected or eradicated. If the authority that carried out the intervention does not issue a resolution within the established timeframe, it must be understood as negative.</w:t>
            </w:r>
          </w:p>
        </w:tc>
      </w:tr>
      <w:tr w:rsidR="009849AC" w:rsidRPr="004A2321" w14:paraId="5EE6B880" w14:textId="1F74D086" w:rsidTr="00F867DE">
        <w:tc>
          <w:tcPr>
            <w:tcW w:w="4711" w:type="dxa"/>
          </w:tcPr>
          <w:p w14:paraId="6C3F993D" w14:textId="77777777" w:rsidR="009849AC" w:rsidRPr="00837D4A" w:rsidRDefault="009849AC" w:rsidP="009849AC">
            <w:pPr>
              <w:pStyle w:val="Texto"/>
              <w:spacing w:line="220" w:lineRule="exact"/>
              <w:ind w:firstLine="0"/>
              <w:rPr>
                <w:rFonts w:ascii="Verdana" w:hAnsi="Verdana"/>
                <w:sz w:val="16"/>
                <w:szCs w:val="16"/>
                <w:lang w:val="es"/>
              </w:rPr>
            </w:pPr>
            <w:r w:rsidRPr="00837D4A">
              <w:rPr>
                <w:rFonts w:ascii="Verdana" w:hAnsi="Verdana"/>
                <w:sz w:val="16"/>
                <w:szCs w:val="16"/>
              </w:rPr>
              <w:t>En caso de que no se haya emitido una resolución o haya sido en sentido negativo, la persona Permisionaria mantiene</w:t>
            </w:r>
            <w:r w:rsidRPr="00837D4A">
              <w:rPr>
                <w:rFonts w:ascii="Verdana" w:hAnsi="Verdana"/>
                <w:sz w:val="16"/>
                <w:szCs w:val="16"/>
                <w:lang w:val="es"/>
              </w:rPr>
              <w:t xml:space="preserve"> </w:t>
            </w:r>
            <w:r w:rsidRPr="00837D4A">
              <w:rPr>
                <w:rFonts w:ascii="Verdana" w:hAnsi="Verdana"/>
                <w:sz w:val="16"/>
                <w:szCs w:val="16"/>
              </w:rPr>
              <w:t>el derecho para ingresar una nueva solicitud de terminación anticipada.</w:t>
            </w:r>
          </w:p>
        </w:tc>
        <w:tc>
          <w:tcPr>
            <w:tcW w:w="4649" w:type="dxa"/>
          </w:tcPr>
          <w:p w14:paraId="5F70578E" w14:textId="7348B202"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In the event that a resolution has not been issued or has been issued negatively, the Permit Holder maintains the right to submit a new request for early termination.</w:t>
            </w:r>
          </w:p>
        </w:tc>
      </w:tr>
      <w:tr w:rsidR="009849AC" w:rsidRPr="00D0180E" w14:paraId="59106E16" w14:textId="73DBC93C" w:rsidTr="00F867DE">
        <w:tc>
          <w:tcPr>
            <w:tcW w:w="4711" w:type="dxa"/>
          </w:tcPr>
          <w:p w14:paraId="5440E7FB" w14:textId="77777777" w:rsidR="009849AC" w:rsidRPr="00837D4A" w:rsidRDefault="009849AC" w:rsidP="009849AC">
            <w:pPr>
              <w:pStyle w:val="Texto"/>
              <w:spacing w:line="220" w:lineRule="exact"/>
              <w:ind w:firstLine="0"/>
              <w:jc w:val="center"/>
              <w:rPr>
                <w:rFonts w:ascii="Verdana" w:hAnsi="Verdana"/>
                <w:b/>
                <w:sz w:val="16"/>
                <w:szCs w:val="16"/>
              </w:rPr>
            </w:pPr>
            <w:proofErr w:type="spellStart"/>
            <w:r w:rsidRPr="00837D4A">
              <w:rPr>
                <w:rFonts w:ascii="Verdana" w:hAnsi="Verdana"/>
                <w:b/>
                <w:sz w:val="16"/>
                <w:szCs w:val="16"/>
              </w:rPr>
              <w:t>Cap</w:t>
            </w:r>
            <w:r w:rsidRPr="00837D4A">
              <w:rPr>
                <w:rFonts w:ascii="Verdana" w:hAnsi="Verdana"/>
                <w:b/>
                <w:sz w:val="16"/>
                <w:szCs w:val="16"/>
                <w:lang w:val="es"/>
              </w:rPr>
              <w:t>ítulo</w:t>
            </w:r>
            <w:proofErr w:type="spellEnd"/>
            <w:r w:rsidRPr="00837D4A">
              <w:rPr>
                <w:rFonts w:ascii="Verdana" w:hAnsi="Verdana"/>
                <w:b/>
                <w:sz w:val="16"/>
                <w:szCs w:val="16"/>
              </w:rPr>
              <w:t xml:space="preserve"> II</w:t>
            </w:r>
          </w:p>
        </w:tc>
        <w:tc>
          <w:tcPr>
            <w:tcW w:w="4649" w:type="dxa"/>
          </w:tcPr>
          <w:p w14:paraId="51C3FD27" w14:textId="46E1F6C7"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Chapter II</w:t>
            </w:r>
            <w:r w:rsidRPr="00837D4A">
              <w:rPr>
                <w:b/>
                <w:sz w:val="16"/>
                <w:szCs w:val="16"/>
                <w:lang w:val="en-US"/>
              </w:rPr>
              <w:t>​</w:t>
            </w:r>
          </w:p>
        </w:tc>
      </w:tr>
      <w:tr w:rsidR="009849AC" w:rsidRPr="004A2321" w14:paraId="76D289FA" w14:textId="66D3B2D5" w:rsidTr="00F867DE">
        <w:tc>
          <w:tcPr>
            <w:tcW w:w="4711" w:type="dxa"/>
          </w:tcPr>
          <w:p w14:paraId="665C1D07"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 la Revocación y Caducidad de Autorizaciones y Permisos</w:t>
            </w:r>
          </w:p>
        </w:tc>
        <w:tc>
          <w:tcPr>
            <w:tcW w:w="4649" w:type="dxa"/>
          </w:tcPr>
          <w:p w14:paraId="62808445" w14:textId="65C51A77"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Revocation and Expiration of Authorizations and Permits</w:t>
            </w:r>
          </w:p>
        </w:tc>
      </w:tr>
      <w:tr w:rsidR="009849AC" w:rsidRPr="004A2321" w14:paraId="6D0C3214" w14:textId="775F44AC" w:rsidTr="00F867DE">
        <w:tc>
          <w:tcPr>
            <w:tcW w:w="4711" w:type="dxa"/>
          </w:tcPr>
          <w:p w14:paraId="0604465E"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329.</w:t>
            </w:r>
            <w:r w:rsidRPr="00837D4A">
              <w:rPr>
                <w:rFonts w:ascii="Verdana" w:hAnsi="Verdana"/>
                <w:sz w:val="16"/>
                <w:szCs w:val="16"/>
              </w:rPr>
              <w:t xml:space="preserve"> La Secretaría y la Comisión, en el ámbito de sus respectivas competencias, pueden dar por terminadas las autorizaciones o permisos expedidos en términos de la Ley y este reglamento cuando las personas interesadas se ubiquen en cualquiera de los supuestos de revocación previstos en las autorizaciones, los títulos de permisos y en los artículos 68 o 89 de la Ley, según corresponda, y demás Normatividad aplicable.</w:t>
            </w:r>
          </w:p>
        </w:tc>
        <w:tc>
          <w:tcPr>
            <w:tcW w:w="4649" w:type="dxa"/>
          </w:tcPr>
          <w:p w14:paraId="1CDA731F" w14:textId="6064C7E7"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329. </w:t>
            </w:r>
            <w:r w:rsidRPr="00837D4A">
              <w:rPr>
                <w:rFonts w:ascii="Verdana" w:hAnsi="Verdana"/>
                <w:sz w:val="16"/>
                <w:szCs w:val="16"/>
                <w:lang w:val="en-US"/>
              </w:rPr>
              <w:t>The Secretary and the Commission, within the scope of their respective powers, may terminate authorizations or permits issued in accordance with the Law and this regulation when the interested parties fall into any of the revocation situations provided for in the authorizations, permit titles and in articles 68 or 89 of the Law, as appropriate, and other applicable legislation.</w:t>
            </w:r>
          </w:p>
        </w:tc>
      </w:tr>
      <w:tr w:rsidR="009849AC" w:rsidRPr="004A2321" w14:paraId="3982BD97" w14:textId="037F30D3" w:rsidTr="00F867DE">
        <w:tc>
          <w:tcPr>
            <w:tcW w:w="4711" w:type="dxa"/>
          </w:tcPr>
          <w:p w14:paraId="07EA105F" w14:textId="77777777" w:rsidR="009849AC" w:rsidRPr="00837D4A" w:rsidRDefault="009849AC" w:rsidP="009849AC">
            <w:pPr>
              <w:pStyle w:val="Texto"/>
              <w:spacing w:line="220" w:lineRule="exact"/>
              <w:ind w:firstLine="0"/>
              <w:rPr>
                <w:rFonts w:ascii="Verdana" w:hAnsi="Verdana"/>
                <w:strike/>
                <w:sz w:val="16"/>
                <w:szCs w:val="16"/>
                <w:lang w:val="es"/>
              </w:rPr>
            </w:pPr>
            <w:r w:rsidRPr="00837D4A">
              <w:rPr>
                <w:rFonts w:ascii="Verdana" w:hAnsi="Verdana"/>
                <w:sz w:val="16"/>
                <w:szCs w:val="16"/>
                <w:lang w:val="es"/>
              </w:rPr>
              <w:t>El procedimiento de revocación se debe sujetar a lo dispuesto en el artículo 93 de la Ley y en todo lo no previsto debe aplicarse de manera supletoria el procedimiento previsto en la Ley Federal del Procedimiento Administrativo, salvo en aquellos casos en los que el procedimiento de revocación se encuentre regulado en la Ley u otra disposición especial, supuesto en el que debe aplicarse el procedimiento regulado en la misma.</w:t>
            </w:r>
          </w:p>
        </w:tc>
        <w:tc>
          <w:tcPr>
            <w:tcW w:w="4649" w:type="dxa"/>
          </w:tcPr>
          <w:p w14:paraId="4180C9D9" w14:textId="5758C7BC" w:rsidR="009849AC" w:rsidRPr="00837D4A" w:rsidRDefault="009849AC" w:rsidP="009849AC">
            <w:pPr>
              <w:pStyle w:val="Texto"/>
              <w:spacing w:line="220" w:lineRule="exact"/>
              <w:ind w:firstLine="0"/>
              <w:rPr>
                <w:rFonts w:ascii="Verdana" w:hAnsi="Verdana"/>
                <w:sz w:val="16"/>
                <w:szCs w:val="16"/>
                <w:lang w:val="en-US"/>
              </w:rPr>
            </w:pPr>
            <w:r w:rsidRPr="00837D4A">
              <w:rPr>
                <w:rFonts w:ascii="Verdana" w:hAnsi="Verdana"/>
                <w:sz w:val="16"/>
                <w:szCs w:val="16"/>
                <w:lang w:val="en-US"/>
              </w:rPr>
              <w:t>The revocation procedure must be subject to the provisions of Article 93 of the Law, and in all cases not provided for, the procedure provided for in the Federal Law of Administrative Procedure must be applied in a supplementary manner, except in those cases in which the revocation procedure is regulated by the Law or another special provision, in which case the procedure regulated therein must be applied.</w:t>
            </w:r>
          </w:p>
        </w:tc>
      </w:tr>
      <w:tr w:rsidR="009849AC" w:rsidRPr="004A2321" w14:paraId="6B30D704" w14:textId="04CC5058" w:rsidTr="00F867DE">
        <w:tc>
          <w:tcPr>
            <w:tcW w:w="4711" w:type="dxa"/>
          </w:tcPr>
          <w:p w14:paraId="67B022B8"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lastRenderedPageBreak/>
              <w:t>Artículo 330.</w:t>
            </w:r>
            <w:r w:rsidRPr="00837D4A">
              <w:rPr>
                <w:rFonts w:ascii="Verdana" w:hAnsi="Verdana"/>
                <w:sz w:val="16"/>
                <w:szCs w:val="16"/>
              </w:rPr>
              <w:t xml:space="preserve"> La declaratoria de caducidad de autorizaciones o permisos, debe realizarse por la Secretaría o la Comisión, en el ámbito de sus respectivas competencias, previa garantía de audiencia que se otorgue a las personas reguladas.</w:t>
            </w:r>
          </w:p>
        </w:tc>
        <w:tc>
          <w:tcPr>
            <w:tcW w:w="4649" w:type="dxa"/>
          </w:tcPr>
          <w:p w14:paraId="2D32F086" w14:textId="2762453F"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330. </w:t>
            </w:r>
            <w:r w:rsidRPr="00837D4A">
              <w:rPr>
                <w:rFonts w:ascii="Verdana" w:hAnsi="Verdana"/>
                <w:sz w:val="16"/>
                <w:szCs w:val="16"/>
                <w:lang w:val="en-US"/>
              </w:rPr>
              <w:t>The declaration of expiration of authorizations or permits must be made by the Secretary or the Commission, within the scope of their respective powers, after guaranteeing a hearing to the regulated persons.</w:t>
            </w:r>
          </w:p>
        </w:tc>
      </w:tr>
      <w:tr w:rsidR="009849AC" w:rsidRPr="00D0180E" w14:paraId="1156EB72" w14:textId="16421322" w:rsidTr="00F867DE">
        <w:tc>
          <w:tcPr>
            <w:tcW w:w="4711" w:type="dxa"/>
          </w:tcPr>
          <w:p w14:paraId="4BB59D0D" w14:textId="77777777" w:rsidR="009849AC" w:rsidRPr="00837D4A" w:rsidRDefault="009849AC" w:rsidP="009849AC">
            <w:pPr>
              <w:pStyle w:val="Texto"/>
              <w:spacing w:line="220" w:lineRule="exact"/>
              <w:ind w:firstLine="0"/>
              <w:jc w:val="center"/>
              <w:rPr>
                <w:rFonts w:ascii="Verdana" w:hAnsi="Verdana"/>
                <w:b/>
                <w:sz w:val="16"/>
                <w:szCs w:val="16"/>
                <w:lang w:val="es"/>
              </w:rPr>
            </w:pPr>
            <w:r w:rsidRPr="00837D4A">
              <w:rPr>
                <w:rFonts w:ascii="Verdana" w:hAnsi="Verdana"/>
                <w:b/>
                <w:sz w:val="16"/>
                <w:szCs w:val="16"/>
                <w:lang w:val="es"/>
              </w:rPr>
              <w:t>Capítulo III</w:t>
            </w:r>
          </w:p>
        </w:tc>
        <w:tc>
          <w:tcPr>
            <w:tcW w:w="4649" w:type="dxa"/>
          </w:tcPr>
          <w:p w14:paraId="7FE4B9A4" w14:textId="277CA8E6"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lang w:val="es"/>
              </w:rPr>
              <w:t>Chapter</w:t>
            </w:r>
            <w:proofErr w:type="spellEnd"/>
            <w:r w:rsidRPr="00837D4A">
              <w:rPr>
                <w:rFonts w:ascii="Verdana" w:hAnsi="Verdana"/>
                <w:b/>
                <w:sz w:val="16"/>
                <w:szCs w:val="16"/>
                <w:lang w:val="es"/>
              </w:rPr>
              <w:t xml:space="preserve"> III</w:t>
            </w:r>
          </w:p>
        </w:tc>
      </w:tr>
      <w:tr w:rsidR="009849AC" w:rsidRPr="004A2321" w14:paraId="7D6E5302" w14:textId="04B2D4EC" w:rsidTr="00F867DE">
        <w:tc>
          <w:tcPr>
            <w:tcW w:w="4711" w:type="dxa"/>
          </w:tcPr>
          <w:p w14:paraId="4E932138"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 los Supuestos para el no Otorgamiento, Modificación o Cesión de Permisos</w:t>
            </w:r>
          </w:p>
        </w:tc>
        <w:tc>
          <w:tcPr>
            <w:tcW w:w="4649" w:type="dxa"/>
          </w:tcPr>
          <w:p w14:paraId="5B9F1D73" w14:textId="7CC90B06"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Regarding the Cases for Not Granting, Modification or Transfer of Permits</w:t>
            </w:r>
          </w:p>
        </w:tc>
      </w:tr>
      <w:tr w:rsidR="009849AC" w:rsidRPr="004A2321" w14:paraId="419B4102" w14:textId="0239BC11" w:rsidTr="00F867DE">
        <w:tc>
          <w:tcPr>
            <w:tcW w:w="4711" w:type="dxa"/>
          </w:tcPr>
          <w:p w14:paraId="0C7362A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 xml:space="preserve">Artículo 331. </w:t>
            </w:r>
            <w:r w:rsidRPr="00837D4A">
              <w:rPr>
                <w:rFonts w:ascii="Verdana" w:hAnsi="Verdana"/>
                <w:sz w:val="16"/>
                <w:szCs w:val="16"/>
              </w:rPr>
              <w:t>La Secretaría o la Comisión, según corresponda, no deben otorgar, modificar o ceder un permiso cuando la persona solicitante se ubique, en alguno de los siguientes supuestos:</w:t>
            </w:r>
          </w:p>
        </w:tc>
        <w:tc>
          <w:tcPr>
            <w:tcW w:w="4649" w:type="dxa"/>
          </w:tcPr>
          <w:p w14:paraId="7BF0923E" w14:textId="32E41C70"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Article 331. </w:t>
            </w:r>
            <w:r w:rsidRPr="00837D4A">
              <w:rPr>
                <w:rFonts w:ascii="Verdana" w:hAnsi="Verdana"/>
                <w:sz w:val="16"/>
                <w:szCs w:val="16"/>
                <w:lang w:val="en-US"/>
              </w:rPr>
              <w:t>The Secretary or the Commission, as appropriate, shall not grant, modify or transfer a permit when the applicant is located in any of the following situations:</w:t>
            </w:r>
          </w:p>
        </w:tc>
      </w:tr>
      <w:tr w:rsidR="009849AC" w:rsidRPr="004A2321" w14:paraId="024E106A" w14:textId="57274BF6" w:rsidTr="00F867DE">
        <w:tc>
          <w:tcPr>
            <w:tcW w:w="4711" w:type="dxa"/>
          </w:tcPr>
          <w:p w14:paraId="7C19BBFF"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Se</w:t>
            </w:r>
            <w:r w:rsidRPr="00837D4A">
              <w:rPr>
                <w:rFonts w:ascii="Verdana" w:hAnsi="Verdana"/>
                <w:b/>
                <w:sz w:val="16"/>
                <w:szCs w:val="16"/>
              </w:rPr>
              <w:t xml:space="preserve"> </w:t>
            </w:r>
            <w:r w:rsidRPr="00837D4A">
              <w:rPr>
                <w:rFonts w:ascii="Verdana" w:hAnsi="Verdana"/>
                <w:sz w:val="16"/>
                <w:szCs w:val="16"/>
              </w:rPr>
              <w:t>encuentren en el directorio de licitantes proveedores y contratistas sancionados;</w:t>
            </w:r>
          </w:p>
        </w:tc>
        <w:tc>
          <w:tcPr>
            <w:tcW w:w="4649" w:type="dxa"/>
          </w:tcPr>
          <w:p w14:paraId="1999FB74" w14:textId="6F93C181"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It</w:t>
            </w:r>
            <w:r w:rsidRPr="00837D4A">
              <w:rPr>
                <w:rFonts w:ascii="Verdana" w:hAnsi="Verdana"/>
                <w:b/>
                <w:sz w:val="16"/>
                <w:szCs w:val="16"/>
                <w:lang w:val="en-US"/>
              </w:rPr>
              <w:t xml:space="preserve"> </w:t>
            </w:r>
            <w:r w:rsidRPr="00837D4A">
              <w:rPr>
                <w:rFonts w:ascii="Verdana" w:hAnsi="Verdana"/>
                <w:sz w:val="16"/>
                <w:szCs w:val="16"/>
                <w:lang w:val="en-US"/>
              </w:rPr>
              <w:t>find sanctioned suppliers and contractors in the bidders directory;</w:t>
            </w:r>
          </w:p>
        </w:tc>
      </w:tr>
      <w:tr w:rsidR="009849AC" w:rsidRPr="004A2321" w14:paraId="12E190D4" w14:textId="435057E0" w:rsidTr="00F867DE">
        <w:tc>
          <w:tcPr>
            <w:tcW w:w="4711" w:type="dxa"/>
          </w:tcPr>
          <w:p w14:paraId="07D85FD8"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Tengan</w:t>
            </w:r>
            <w:r w:rsidRPr="00837D4A">
              <w:rPr>
                <w:rFonts w:ascii="Verdana" w:hAnsi="Verdana"/>
                <w:b/>
                <w:sz w:val="16"/>
                <w:szCs w:val="16"/>
              </w:rPr>
              <w:t xml:space="preserve"> </w:t>
            </w:r>
            <w:r w:rsidRPr="00837D4A">
              <w:rPr>
                <w:rFonts w:ascii="Verdana" w:hAnsi="Verdana"/>
                <w:sz w:val="16"/>
                <w:szCs w:val="16"/>
              </w:rPr>
              <w:t>incumplimientos vigentes en otros permisos;</w:t>
            </w:r>
          </w:p>
        </w:tc>
        <w:tc>
          <w:tcPr>
            <w:tcW w:w="4649" w:type="dxa"/>
          </w:tcPr>
          <w:p w14:paraId="7C47F1D5" w14:textId="1273639C"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Have</w:t>
            </w:r>
            <w:r w:rsidRPr="00837D4A">
              <w:rPr>
                <w:rFonts w:ascii="Verdana" w:hAnsi="Verdana"/>
                <w:b/>
                <w:sz w:val="16"/>
                <w:szCs w:val="16"/>
                <w:lang w:val="en-US"/>
              </w:rPr>
              <w:t xml:space="preserve"> </w:t>
            </w:r>
            <w:r w:rsidRPr="00837D4A">
              <w:rPr>
                <w:rFonts w:ascii="Verdana" w:hAnsi="Verdana"/>
                <w:sz w:val="16"/>
                <w:szCs w:val="16"/>
                <w:lang w:val="en-US"/>
              </w:rPr>
              <w:t>non-compliances in force in other permits;</w:t>
            </w:r>
          </w:p>
        </w:tc>
      </w:tr>
      <w:tr w:rsidR="009849AC" w:rsidRPr="004A2321" w14:paraId="60C88537" w14:textId="6F1560D4" w:rsidTr="00F867DE">
        <w:tc>
          <w:tcPr>
            <w:tcW w:w="4711" w:type="dxa"/>
          </w:tcPr>
          <w:p w14:paraId="727DD7B1" w14:textId="77777777" w:rsidR="009849AC" w:rsidRPr="00837D4A" w:rsidRDefault="009849AC" w:rsidP="009849AC">
            <w:pPr>
              <w:pStyle w:val="Texto"/>
              <w:spacing w:line="220"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Se</w:t>
            </w:r>
            <w:r w:rsidRPr="00837D4A">
              <w:rPr>
                <w:rFonts w:ascii="Verdana" w:hAnsi="Verdana"/>
                <w:b/>
                <w:sz w:val="16"/>
                <w:szCs w:val="16"/>
              </w:rPr>
              <w:t xml:space="preserve"> </w:t>
            </w:r>
            <w:r w:rsidRPr="00837D4A">
              <w:rPr>
                <w:rFonts w:ascii="Verdana" w:hAnsi="Verdana"/>
                <w:sz w:val="16"/>
                <w:szCs w:val="16"/>
              </w:rPr>
              <w:t>ubiquen en el supuesto a que se refiere el artículo 69-B del Código Fiscal de la Federación;</w:t>
            </w:r>
          </w:p>
        </w:tc>
        <w:tc>
          <w:tcPr>
            <w:tcW w:w="4649" w:type="dxa"/>
          </w:tcPr>
          <w:p w14:paraId="223086F3" w14:textId="6FC100F4"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It</w:t>
            </w:r>
            <w:r w:rsidRPr="00837D4A">
              <w:rPr>
                <w:rFonts w:ascii="Verdana" w:hAnsi="Verdana"/>
                <w:b/>
                <w:sz w:val="16"/>
                <w:szCs w:val="16"/>
                <w:lang w:val="en-US"/>
              </w:rPr>
              <w:t xml:space="preserve"> </w:t>
            </w:r>
            <w:r w:rsidRPr="00837D4A">
              <w:rPr>
                <w:rFonts w:ascii="Verdana" w:hAnsi="Verdana"/>
                <w:sz w:val="16"/>
                <w:szCs w:val="16"/>
                <w:lang w:val="en-US"/>
              </w:rPr>
              <w:t>are located in the case referred to in article 69-B of the Federal Tax Code;</w:t>
            </w:r>
          </w:p>
        </w:tc>
      </w:tr>
      <w:tr w:rsidR="009849AC" w:rsidRPr="004A2321" w14:paraId="5A02E25E" w14:textId="3AB5DB57" w:rsidTr="00F867DE">
        <w:tc>
          <w:tcPr>
            <w:tcW w:w="4711" w:type="dxa"/>
          </w:tcPr>
          <w:p w14:paraId="07AB8466"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Proporcionen información falsa o alterada;</w:t>
            </w:r>
          </w:p>
        </w:tc>
        <w:tc>
          <w:tcPr>
            <w:tcW w:w="4649" w:type="dxa"/>
          </w:tcPr>
          <w:p w14:paraId="6DAC61E2" w14:textId="5A4E9410"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Provide false or altered information;</w:t>
            </w:r>
          </w:p>
        </w:tc>
      </w:tr>
      <w:tr w:rsidR="009849AC" w:rsidRPr="004A2321" w14:paraId="6133A251" w14:textId="09340DAC" w:rsidTr="00F867DE">
        <w:tc>
          <w:tcPr>
            <w:tcW w:w="4711" w:type="dxa"/>
          </w:tcPr>
          <w:p w14:paraId="3BB31B85"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Hayan realizado o realicen las actividades previstas en el artículo 3 de la Ley sin el permiso correspondiente;</w:t>
            </w:r>
          </w:p>
        </w:tc>
        <w:tc>
          <w:tcPr>
            <w:tcW w:w="4649" w:type="dxa"/>
          </w:tcPr>
          <w:p w14:paraId="2CFD289F" w14:textId="13931ABC"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Have carried out or are carrying out the activities provided for in Article 3 of the Law without the corresponding permit;</w:t>
            </w:r>
          </w:p>
        </w:tc>
      </w:tr>
      <w:tr w:rsidR="009849AC" w:rsidRPr="004A2321" w14:paraId="7BC264FC" w14:textId="070C2AE4" w:rsidTr="00F867DE">
        <w:tc>
          <w:tcPr>
            <w:tcW w:w="4711" w:type="dxa"/>
          </w:tcPr>
          <w:p w14:paraId="14E6F7F0"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No se hayan constituido conforme a las leyes mexicanas;</w:t>
            </w:r>
          </w:p>
        </w:tc>
        <w:tc>
          <w:tcPr>
            <w:tcW w:w="4649" w:type="dxa"/>
          </w:tcPr>
          <w:p w14:paraId="78D6191C" w14:textId="0D754783"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They have not been established in accordance with Mexican laws;</w:t>
            </w:r>
          </w:p>
        </w:tc>
      </w:tr>
      <w:tr w:rsidR="009849AC" w:rsidRPr="004A2321" w14:paraId="51E12869" w14:textId="488E2E6C" w:rsidTr="00F867DE">
        <w:tc>
          <w:tcPr>
            <w:tcW w:w="4711" w:type="dxa"/>
          </w:tcPr>
          <w:p w14:paraId="6BA91D97"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Tengan un empleo, cargo o comisión, en cualquier ente público o privado, del que se desprenda un conflicto de interés;</w:t>
            </w:r>
          </w:p>
        </w:tc>
        <w:tc>
          <w:tcPr>
            <w:tcW w:w="4649" w:type="dxa"/>
          </w:tcPr>
          <w:p w14:paraId="1197CAC4" w14:textId="67451C51"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Have a job, position or commission in any public or private entity, which gives rise to a conflict of interest;</w:t>
            </w:r>
          </w:p>
        </w:tc>
      </w:tr>
      <w:tr w:rsidR="009849AC" w:rsidRPr="004A2321" w14:paraId="0DD26BEE" w14:textId="074A7967" w:rsidTr="00F867DE">
        <w:tc>
          <w:tcPr>
            <w:tcW w:w="4711" w:type="dxa"/>
          </w:tcPr>
          <w:p w14:paraId="45D8160B"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Se propicie la realización o continuidad de actividades ilícitas en materia de Hidrocarburos, Petrolíferos o Petroquímicos, o bien, se busque evadir o interferir en el ejercicio de las facultades de investigación de la Fiscalía General de la República o las facultades de verificación de la Secretaría o de la Comisión;</w:t>
            </w:r>
          </w:p>
        </w:tc>
        <w:tc>
          <w:tcPr>
            <w:tcW w:w="4649" w:type="dxa"/>
          </w:tcPr>
          <w:p w14:paraId="4F2020BC" w14:textId="3A425966"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The execution or continuation of illicit activities in the field of hydrocarbons, petroleum or petrochemicals is encouraged, or an attempt is made to evade or interfere with the exercise of the investigative powers of the General Prosecutor of the Republic or the verification powers of the Secretary or the Commission;</w:t>
            </w:r>
          </w:p>
        </w:tc>
      </w:tr>
      <w:tr w:rsidR="009849AC" w:rsidRPr="004A2321" w14:paraId="33ED7C08" w14:textId="1E94AE9B" w:rsidTr="00F867DE">
        <w:tc>
          <w:tcPr>
            <w:tcW w:w="4711" w:type="dxa"/>
          </w:tcPr>
          <w:p w14:paraId="5C834B52"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IX.</w:t>
            </w:r>
            <w:r w:rsidRPr="00837D4A">
              <w:rPr>
                <w:rFonts w:ascii="Verdana" w:hAnsi="Verdana"/>
                <w:b/>
                <w:sz w:val="16"/>
                <w:szCs w:val="16"/>
              </w:rPr>
              <w:tab/>
            </w:r>
            <w:r w:rsidRPr="00837D4A">
              <w:rPr>
                <w:rFonts w:ascii="Verdana" w:hAnsi="Verdana"/>
                <w:sz w:val="16"/>
                <w:szCs w:val="16"/>
              </w:rPr>
              <w:t>Exista sentencia condenatoria firme por la comisión de delitos en materia de Hidrocarburos, en contra de un Particular, su representante legal o alguno de los accionistas o socios para el caso de Personas Morales, y</w:t>
            </w:r>
          </w:p>
        </w:tc>
        <w:tc>
          <w:tcPr>
            <w:tcW w:w="4649" w:type="dxa"/>
          </w:tcPr>
          <w:p w14:paraId="48FB2FC6" w14:textId="42E288D5"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IX. </w:t>
            </w:r>
            <w:r w:rsidRPr="00837D4A">
              <w:rPr>
                <w:rFonts w:ascii="Verdana" w:hAnsi="Verdana"/>
                <w:b/>
                <w:sz w:val="16"/>
                <w:szCs w:val="16"/>
                <w:lang w:val="en-US"/>
              </w:rPr>
              <w:tab/>
            </w:r>
            <w:r w:rsidRPr="00837D4A">
              <w:rPr>
                <w:rFonts w:ascii="Verdana" w:hAnsi="Verdana"/>
                <w:sz w:val="16"/>
                <w:szCs w:val="16"/>
                <w:lang w:val="en-US"/>
              </w:rPr>
              <w:t>There is a final conviction for the commission of crimes related to hydrocarbons, against an individual, the legal representative or any of the shareholders or partners in the case of legal entities, and</w:t>
            </w:r>
          </w:p>
        </w:tc>
      </w:tr>
      <w:tr w:rsidR="009849AC" w:rsidRPr="004A2321" w14:paraId="1F651339" w14:textId="676492FF" w:rsidTr="00F867DE">
        <w:tc>
          <w:tcPr>
            <w:tcW w:w="4711" w:type="dxa"/>
          </w:tcPr>
          <w:p w14:paraId="38BC0052"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X.</w:t>
            </w:r>
            <w:r w:rsidRPr="00837D4A">
              <w:rPr>
                <w:rFonts w:ascii="Verdana" w:hAnsi="Verdana"/>
                <w:b/>
                <w:sz w:val="16"/>
                <w:szCs w:val="16"/>
              </w:rPr>
              <w:tab/>
            </w:r>
            <w:r w:rsidRPr="00837D4A">
              <w:rPr>
                <w:rFonts w:ascii="Verdana" w:hAnsi="Verdana"/>
                <w:sz w:val="16"/>
                <w:szCs w:val="16"/>
              </w:rPr>
              <w:t>Las demás que se prevean en la Normatividad aplicable.</w:t>
            </w:r>
          </w:p>
        </w:tc>
        <w:tc>
          <w:tcPr>
            <w:tcW w:w="4649" w:type="dxa"/>
          </w:tcPr>
          <w:p w14:paraId="18683933" w14:textId="16EC54D7"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t xml:space="preserve">X. </w:t>
            </w:r>
            <w:r w:rsidRPr="00837D4A">
              <w:rPr>
                <w:rFonts w:ascii="Verdana" w:hAnsi="Verdana"/>
                <w:b/>
                <w:sz w:val="16"/>
                <w:szCs w:val="16"/>
                <w:lang w:val="en-US"/>
              </w:rPr>
              <w:tab/>
            </w:r>
            <w:r w:rsidRPr="00837D4A">
              <w:rPr>
                <w:rFonts w:ascii="Verdana" w:hAnsi="Verdana"/>
                <w:sz w:val="16"/>
                <w:szCs w:val="16"/>
                <w:lang w:val="en-US"/>
              </w:rPr>
              <w:t>Others provided for in the applicable legislation.</w:t>
            </w:r>
          </w:p>
        </w:tc>
      </w:tr>
      <w:tr w:rsidR="009849AC" w:rsidRPr="00D0180E" w14:paraId="0B6DCD3B" w14:textId="716716F7" w:rsidTr="00F867DE">
        <w:tc>
          <w:tcPr>
            <w:tcW w:w="4711" w:type="dxa"/>
          </w:tcPr>
          <w:p w14:paraId="039F257D"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Capítulo IV</w:t>
            </w:r>
          </w:p>
        </w:tc>
        <w:tc>
          <w:tcPr>
            <w:tcW w:w="4649" w:type="dxa"/>
          </w:tcPr>
          <w:p w14:paraId="1AE8FFD6" w14:textId="16E04321" w:rsidR="009849AC" w:rsidRPr="00837D4A" w:rsidRDefault="009849AC" w:rsidP="009849AC">
            <w:pPr>
              <w:pStyle w:val="Texto"/>
              <w:spacing w:line="220"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IV</w:t>
            </w:r>
          </w:p>
        </w:tc>
      </w:tr>
      <w:tr w:rsidR="009849AC" w:rsidRPr="00D0180E" w14:paraId="2443EE55" w14:textId="77AB8330" w:rsidTr="00F867DE">
        <w:tc>
          <w:tcPr>
            <w:tcW w:w="4711" w:type="dxa"/>
          </w:tcPr>
          <w:p w14:paraId="0E671958" w14:textId="77777777" w:rsidR="009849AC" w:rsidRPr="00837D4A" w:rsidRDefault="009849AC" w:rsidP="009849AC">
            <w:pPr>
              <w:pStyle w:val="Texto"/>
              <w:spacing w:line="220" w:lineRule="exact"/>
              <w:ind w:firstLine="0"/>
              <w:jc w:val="center"/>
              <w:rPr>
                <w:rFonts w:ascii="Verdana" w:hAnsi="Verdana"/>
                <w:b/>
                <w:sz w:val="16"/>
                <w:szCs w:val="16"/>
              </w:rPr>
            </w:pPr>
            <w:r w:rsidRPr="00837D4A">
              <w:rPr>
                <w:rFonts w:ascii="Verdana" w:hAnsi="Verdana"/>
                <w:b/>
                <w:sz w:val="16"/>
                <w:szCs w:val="16"/>
              </w:rPr>
              <w:t>De las Innovaciones Tecnológicas</w:t>
            </w:r>
          </w:p>
        </w:tc>
        <w:tc>
          <w:tcPr>
            <w:tcW w:w="4649" w:type="dxa"/>
          </w:tcPr>
          <w:p w14:paraId="09D4CF76" w14:textId="07A83564" w:rsidR="009849AC" w:rsidRPr="00837D4A" w:rsidRDefault="009849AC" w:rsidP="009849AC">
            <w:pPr>
              <w:pStyle w:val="Texto"/>
              <w:spacing w:line="220" w:lineRule="exact"/>
              <w:ind w:firstLine="0"/>
              <w:jc w:val="center"/>
              <w:rPr>
                <w:rFonts w:ascii="Verdana" w:hAnsi="Verdana"/>
                <w:b/>
                <w:sz w:val="16"/>
                <w:szCs w:val="16"/>
                <w:lang w:val="en-US"/>
              </w:rPr>
            </w:pPr>
            <w:r w:rsidRPr="00837D4A">
              <w:rPr>
                <w:rFonts w:ascii="Verdana" w:hAnsi="Verdana"/>
                <w:b/>
                <w:sz w:val="16"/>
                <w:szCs w:val="16"/>
                <w:lang w:val="en-US"/>
              </w:rPr>
              <w:t>Technological Innovations</w:t>
            </w:r>
          </w:p>
        </w:tc>
      </w:tr>
      <w:tr w:rsidR="009849AC" w:rsidRPr="004A2321" w14:paraId="6D8AF124" w14:textId="4427A1A2" w:rsidTr="00F867DE">
        <w:tc>
          <w:tcPr>
            <w:tcW w:w="4711" w:type="dxa"/>
          </w:tcPr>
          <w:p w14:paraId="5D1AF08B" w14:textId="77777777" w:rsidR="009849AC" w:rsidRPr="00837D4A" w:rsidRDefault="009849AC" w:rsidP="009849AC">
            <w:pPr>
              <w:pStyle w:val="Texto"/>
              <w:spacing w:line="220" w:lineRule="exact"/>
              <w:ind w:firstLine="0"/>
              <w:rPr>
                <w:rFonts w:ascii="Verdana" w:hAnsi="Verdana"/>
                <w:sz w:val="16"/>
                <w:szCs w:val="16"/>
              </w:rPr>
            </w:pPr>
            <w:r w:rsidRPr="00837D4A">
              <w:rPr>
                <w:rFonts w:ascii="Verdana" w:hAnsi="Verdana"/>
                <w:b/>
                <w:sz w:val="16"/>
                <w:szCs w:val="16"/>
              </w:rPr>
              <w:t>Artículo 332.</w:t>
            </w:r>
            <w:r w:rsidRPr="00837D4A">
              <w:rPr>
                <w:rFonts w:ascii="Verdana" w:hAnsi="Verdana"/>
                <w:sz w:val="16"/>
                <w:szCs w:val="16"/>
              </w:rPr>
              <w:t xml:space="preserve"> Las disposiciones de este Capítulo tienen por objeto promover, instaurar y fomentar la implementación de herramientas tecnológicas, el uso de medios electrónicos y tecnologías de la información, que faciliten la trazabilidad de los Hidrocarburos, Petrolíferos y Petroquímicos y el acceso a la información del sector hidrocarburos, permitan el seguimiento de proyectos y que los trámites se presenten y desahoguen de forma </w:t>
            </w:r>
            <w:r w:rsidRPr="00837D4A">
              <w:rPr>
                <w:rFonts w:ascii="Verdana" w:hAnsi="Verdana"/>
                <w:sz w:val="16"/>
                <w:szCs w:val="16"/>
              </w:rPr>
              <w:lastRenderedPageBreak/>
              <w:t>sencilla, eficiente y segura ante la Secretaría y la Comisión.</w:t>
            </w:r>
          </w:p>
        </w:tc>
        <w:tc>
          <w:tcPr>
            <w:tcW w:w="4649" w:type="dxa"/>
          </w:tcPr>
          <w:p w14:paraId="3F708D6E" w14:textId="4B057BED" w:rsidR="009849AC" w:rsidRPr="00837D4A" w:rsidRDefault="009849AC" w:rsidP="009849AC">
            <w:pPr>
              <w:pStyle w:val="Texto"/>
              <w:spacing w:line="220" w:lineRule="exact"/>
              <w:ind w:firstLine="0"/>
              <w:rPr>
                <w:rFonts w:ascii="Verdana" w:hAnsi="Verdana"/>
                <w:b/>
                <w:sz w:val="16"/>
                <w:szCs w:val="16"/>
                <w:lang w:val="en-US"/>
              </w:rPr>
            </w:pPr>
            <w:r w:rsidRPr="00837D4A">
              <w:rPr>
                <w:rFonts w:ascii="Verdana" w:hAnsi="Verdana"/>
                <w:b/>
                <w:sz w:val="16"/>
                <w:szCs w:val="16"/>
                <w:lang w:val="en-US"/>
              </w:rPr>
              <w:lastRenderedPageBreak/>
              <w:t xml:space="preserve">Article 332. </w:t>
            </w:r>
            <w:r w:rsidRPr="00837D4A">
              <w:rPr>
                <w:rFonts w:ascii="Verdana" w:hAnsi="Verdana"/>
                <w:sz w:val="16"/>
                <w:szCs w:val="16"/>
                <w:lang w:val="en-US"/>
              </w:rPr>
              <w:t xml:space="preserve">The provisions of this Chapter are intended to promote, establish and encourage the implementation of technological tools, the use of electronic media and information technologies, which facilitate the traceability of hydrocarbons, petroleum products and petrochemicals and access to information on the hydrocarbon sector, allow for the monitoring of projects and ensure that procedures are submitted and </w:t>
            </w:r>
            <w:r w:rsidRPr="00837D4A">
              <w:rPr>
                <w:rFonts w:ascii="Verdana" w:hAnsi="Verdana"/>
                <w:sz w:val="16"/>
                <w:szCs w:val="16"/>
                <w:lang w:val="en-US"/>
              </w:rPr>
              <w:lastRenderedPageBreak/>
              <w:t>processed in a simple, efficient and secure manner before the Secretary and the Commission.</w:t>
            </w:r>
          </w:p>
        </w:tc>
      </w:tr>
      <w:tr w:rsidR="009849AC" w:rsidRPr="004A2321" w14:paraId="0D366F08" w14:textId="5BEE9D09" w:rsidTr="00F867DE">
        <w:tc>
          <w:tcPr>
            <w:tcW w:w="4711" w:type="dxa"/>
          </w:tcPr>
          <w:p w14:paraId="0651DA75"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lastRenderedPageBreak/>
              <w:t>Artículo 333.</w:t>
            </w:r>
            <w:r w:rsidRPr="00837D4A">
              <w:rPr>
                <w:rFonts w:ascii="Verdana" w:hAnsi="Verdana"/>
                <w:sz w:val="16"/>
                <w:szCs w:val="16"/>
              </w:rPr>
              <w:t xml:space="preserve"> La Secretaría y la Comisión deben priorizar el uso de medios electrónicos y tecnologías de la información para el ejercicio de sus atribuciones previstas en la Ley, el presente reglamento y la Normatividad aplicable, en las que se debe considerar al menos:</w:t>
            </w:r>
          </w:p>
        </w:tc>
        <w:tc>
          <w:tcPr>
            <w:tcW w:w="4649" w:type="dxa"/>
          </w:tcPr>
          <w:p w14:paraId="6C0B4792" w14:textId="5B5CA72E"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333. </w:t>
            </w:r>
            <w:r w:rsidRPr="00837D4A">
              <w:rPr>
                <w:rFonts w:ascii="Verdana" w:hAnsi="Verdana"/>
                <w:sz w:val="16"/>
                <w:szCs w:val="16"/>
                <w:lang w:val="en-US"/>
              </w:rPr>
              <w:t>The Secretary and the Commission must prioritize the use of electronic media and information technologies for the exercise of their powers provided for in the Law, this Regulation and the applicable legislation, which must consider at least:</w:t>
            </w:r>
          </w:p>
        </w:tc>
      </w:tr>
      <w:tr w:rsidR="009849AC" w:rsidRPr="004A2321" w14:paraId="61E2006A" w14:textId="07C59C10" w:rsidTr="00F867DE">
        <w:tc>
          <w:tcPr>
            <w:tcW w:w="4711" w:type="dxa"/>
          </w:tcPr>
          <w:p w14:paraId="7C4E460B"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Prever la adquisición de herramientas tecnológicas, que permitan implementar y mantener una plataforma tecnológica confiable, eficiente y segura al servicio del público en general, donde se refleje la información relevante del sector hidrocarburos;</w:t>
            </w:r>
          </w:p>
        </w:tc>
        <w:tc>
          <w:tcPr>
            <w:tcW w:w="4649" w:type="dxa"/>
          </w:tcPr>
          <w:p w14:paraId="4300B434" w14:textId="29A2B56E"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Provide for the acquisition of technological tools that allow for the implementation and maintenance of a reliable, efficient and secure technological platform at the service of the general public, reflecting relevant information on the hydrocarbon sector;</w:t>
            </w:r>
          </w:p>
        </w:tc>
      </w:tr>
      <w:tr w:rsidR="009849AC" w:rsidRPr="004A2321" w14:paraId="71B2BCA6" w14:textId="0D0E170B" w:rsidTr="00F867DE">
        <w:tc>
          <w:tcPr>
            <w:tcW w:w="4711" w:type="dxa"/>
          </w:tcPr>
          <w:p w14:paraId="3636DC6B"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Habilitar herramientas tecnológicas que permitan a las personas que realicen las actividades previstas en la Ley, presentar de forma sencilla, eficiente y segura sus trámites ante dichas autoridades, sin la necesidad de acudir directamente en el domicilio oficial de la Secretaría y la Comisión, y</w:t>
            </w:r>
          </w:p>
        </w:tc>
        <w:tc>
          <w:tcPr>
            <w:tcW w:w="4649" w:type="dxa"/>
          </w:tcPr>
          <w:p w14:paraId="7096C6E7" w14:textId="2E3F0AF8"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Enable technological tools that allow people who carry out the activities provided for in the Law to submit their procedures to said authorities in a simple, efficient and secure manner, without the need to go directly to the official address of the Secretary and the Commission, and</w:t>
            </w:r>
          </w:p>
        </w:tc>
      </w:tr>
      <w:tr w:rsidR="009849AC" w:rsidRPr="004A2321" w14:paraId="15558833" w14:textId="635977D0" w:rsidTr="00F867DE">
        <w:tc>
          <w:tcPr>
            <w:tcW w:w="4711" w:type="dxa"/>
          </w:tcPr>
          <w:p w14:paraId="70FC2CF4"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El uso de firmas electrónicas, expedientes electrónicos, carpetas digitales, notificaciones electrónicas, desahogo de requerimientos mediante medios electrónicos, celebración de comparecencias y audiencias mediante videoconferencia, entre otros, todo bajo estrictos estándares de calidad, confiabilidad, eficiencia, transparencia y seguridad en la información.</w:t>
            </w:r>
          </w:p>
        </w:tc>
        <w:tc>
          <w:tcPr>
            <w:tcW w:w="4649" w:type="dxa"/>
          </w:tcPr>
          <w:p w14:paraId="7A5655FA" w14:textId="533CBDF4"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 xml:space="preserve">The use of electronic </w:t>
            </w:r>
            <w:proofErr w:type="spellStart"/>
            <w:r w:rsidRPr="00837D4A">
              <w:rPr>
                <w:rFonts w:ascii="Verdana" w:hAnsi="Verdana"/>
                <w:sz w:val="16"/>
                <w:szCs w:val="16"/>
                <w:lang w:val="en-US"/>
              </w:rPr>
              <w:t>Signeds</w:t>
            </w:r>
            <w:proofErr w:type="spellEnd"/>
            <w:r w:rsidRPr="00837D4A">
              <w:rPr>
                <w:rFonts w:ascii="Verdana" w:hAnsi="Verdana"/>
                <w:sz w:val="16"/>
                <w:szCs w:val="16"/>
                <w:lang w:val="en-US"/>
              </w:rPr>
              <w:t>, electronic files, digital folders, electronic notifications, processing of requests through electronic means, holding appearances and hearings via videoconference, among others, all under strict standards of quality, reliability, efficiency, transparency, and information security.</w:t>
            </w:r>
          </w:p>
        </w:tc>
      </w:tr>
      <w:tr w:rsidR="009849AC" w:rsidRPr="004A2321" w14:paraId="5718D51E" w14:textId="5D2D5BD8" w:rsidTr="00F867DE">
        <w:tc>
          <w:tcPr>
            <w:tcW w:w="4711" w:type="dxa"/>
          </w:tcPr>
          <w:p w14:paraId="0D56D43D"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Artículo 334.</w:t>
            </w:r>
            <w:r w:rsidRPr="00837D4A">
              <w:rPr>
                <w:rFonts w:ascii="Verdana" w:hAnsi="Verdana"/>
                <w:sz w:val="16"/>
                <w:szCs w:val="16"/>
              </w:rPr>
              <w:t xml:space="preserve"> La Secretaría y la Comisión pueden emitir los lineamientos o reglas generales donde se defina el proceso de inscripción, documentos y requisitos que deben acreditar las personas que realicen las actividades previstas en la Ley para efectos del artículo anterior.</w:t>
            </w:r>
          </w:p>
        </w:tc>
        <w:tc>
          <w:tcPr>
            <w:tcW w:w="4649" w:type="dxa"/>
          </w:tcPr>
          <w:p w14:paraId="30294968" w14:textId="729B3D21"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334. </w:t>
            </w:r>
            <w:r w:rsidRPr="00837D4A">
              <w:rPr>
                <w:rFonts w:ascii="Verdana" w:hAnsi="Verdana"/>
                <w:sz w:val="16"/>
                <w:szCs w:val="16"/>
                <w:lang w:val="en-US"/>
              </w:rPr>
              <w:t>The Secretary and the Commission may issue guidelines or general rules defining the registration process, documents and requirements that must be accredited by persons carrying out the activities provided for in the Law for the purposes of the preceding article.</w:t>
            </w:r>
          </w:p>
        </w:tc>
      </w:tr>
      <w:tr w:rsidR="009849AC" w:rsidRPr="004A2321" w14:paraId="262F5A5E" w14:textId="3AF1EFC0" w:rsidTr="00F867DE">
        <w:tc>
          <w:tcPr>
            <w:tcW w:w="4711" w:type="dxa"/>
          </w:tcPr>
          <w:p w14:paraId="6EB4B923"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Artículo 335.</w:t>
            </w:r>
            <w:r w:rsidRPr="00837D4A">
              <w:rPr>
                <w:rFonts w:ascii="Verdana" w:hAnsi="Verdana"/>
                <w:sz w:val="16"/>
                <w:szCs w:val="16"/>
              </w:rPr>
              <w:t xml:space="preserve"> Los actos jurídicos y actuaciones electrónicas que realicen las personas que lleven a cabo las actividades previstas en el artículo 3 de la Ley, y que se encuentren debidamente acreditadas ante la Secretaría o la Comisión, producen los mismos efectos jurídicos que las leyes otorgan a los documentos firmados de manera autógrafa.</w:t>
            </w:r>
          </w:p>
        </w:tc>
        <w:tc>
          <w:tcPr>
            <w:tcW w:w="4649" w:type="dxa"/>
          </w:tcPr>
          <w:p w14:paraId="6E8771D6" w14:textId="2F55F888"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335. </w:t>
            </w:r>
            <w:r w:rsidRPr="00837D4A">
              <w:rPr>
                <w:rFonts w:ascii="Verdana" w:hAnsi="Verdana"/>
                <w:sz w:val="16"/>
                <w:szCs w:val="16"/>
                <w:lang w:val="en-US"/>
              </w:rPr>
              <w:t>Legal acts and electronic actions carried out by persons who carry out the activities provided for in Article 3 of the Law, and who are duly accredited before the Secretary or the Commission, produce the same legal effects that the laws grant to documents signed by hand.</w:t>
            </w:r>
          </w:p>
        </w:tc>
      </w:tr>
      <w:tr w:rsidR="009849AC" w:rsidRPr="00D0180E" w14:paraId="093AC26A" w14:textId="5D271DD2" w:rsidTr="00F867DE">
        <w:tc>
          <w:tcPr>
            <w:tcW w:w="4711" w:type="dxa"/>
          </w:tcPr>
          <w:p w14:paraId="01AA9C4C" w14:textId="77777777" w:rsidR="009849AC" w:rsidRPr="00837D4A" w:rsidRDefault="009849AC" w:rsidP="009849AC">
            <w:pPr>
              <w:pStyle w:val="Texto"/>
              <w:spacing w:line="242" w:lineRule="exact"/>
              <w:ind w:firstLine="0"/>
              <w:jc w:val="center"/>
              <w:rPr>
                <w:rFonts w:ascii="Verdana" w:hAnsi="Verdana"/>
                <w:b/>
                <w:sz w:val="16"/>
                <w:szCs w:val="16"/>
              </w:rPr>
            </w:pPr>
            <w:r w:rsidRPr="00837D4A">
              <w:rPr>
                <w:rFonts w:ascii="Verdana" w:hAnsi="Verdana"/>
                <w:b/>
                <w:sz w:val="16"/>
                <w:szCs w:val="16"/>
              </w:rPr>
              <w:t>Capítulo V</w:t>
            </w:r>
          </w:p>
        </w:tc>
        <w:tc>
          <w:tcPr>
            <w:tcW w:w="4649" w:type="dxa"/>
          </w:tcPr>
          <w:p w14:paraId="40AFDD87" w14:textId="6793F3E9" w:rsidR="009849AC" w:rsidRPr="00837D4A" w:rsidRDefault="009849AC" w:rsidP="009849AC">
            <w:pPr>
              <w:pStyle w:val="Texto"/>
              <w:spacing w:line="242" w:lineRule="exact"/>
              <w:ind w:firstLine="0"/>
              <w:jc w:val="center"/>
              <w:rPr>
                <w:rFonts w:ascii="Verdana" w:hAnsi="Verdana"/>
                <w:b/>
                <w:sz w:val="16"/>
                <w:szCs w:val="16"/>
                <w:lang w:val="en-US"/>
              </w:rPr>
            </w:pPr>
            <w:proofErr w:type="spellStart"/>
            <w:r w:rsidRPr="00837D4A">
              <w:rPr>
                <w:rFonts w:ascii="Verdana" w:hAnsi="Verdana"/>
                <w:b/>
                <w:sz w:val="16"/>
                <w:szCs w:val="16"/>
              </w:rPr>
              <w:t>Chapter</w:t>
            </w:r>
            <w:proofErr w:type="spellEnd"/>
            <w:r w:rsidRPr="00837D4A">
              <w:rPr>
                <w:rFonts w:ascii="Verdana" w:hAnsi="Verdana"/>
                <w:b/>
                <w:sz w:val="16"/>
                <w:szCs w:val="16"/>
              </w:rPr>
              <w:t xml:space="preserve"> V</w:t>
            </w:r>
          </w:p>
        </w:tc>
      </w:tr>
      <w:tr w:rsidR="009849AC" w:rsidRPr="00D0180E" w14:paraId="11EF5521" w14:textId="35D24E86" w:rsidTr="00F867DE">
        <w:tc>
          <w:tcPr>
            <w:tcW w:w="4711" w:type="dxa"/>
          </w:tcPr>
          <w:p w14:paraId="2E4115D5" w14:textId="77777777" w:rsidR="009849AC" w:rsidRPr="00837D4A" w:rsidRDefault="009849AC" w:rsidP="009849AC">
            <w:pPr>
              <w:pStyle w:val="Texto"/>
              <w:spacing w:line="242" w:lineRule="exact"/>
              <w:ind w:firstLine="0"/>
              <w:jc w:val="center"/>
              <w:rPr>
                <w:rFonts w:ascii="Verdana" w:hAnsi="Verdana"/>
                <w:b/>
                <w:sz w:val="16"/>
                <w:szCs w:val="16"/>
              </w:rPr>
            </w:pPr>
            <w:r w:rsidRPr="00837D4A">
              <w:rPr>
                <w:rFonts w:ascii="Verdana" w:hAnsi="Verdana"/>
                <w:b/>
                <w:sz w:val="16"/>
                <w:szCs w:val="16"/>
              </w:rPr>
              <w:t>De la Justicia Energética</w:t>
            </w:r>
          </w:p>
        </w:tc>
        <w:tc>
          <w:tcPr>
            <w:tcW w:w="4649" w:type="dxa"/>
          </w:tcPr>
          <w:p w14:paraId="601B3349" w14:textId="51A68398" w:rsidR="009849AC" w:rsidRPr="00837D4A" w:rsidRDefault="009849AC" w:rsidP="009849AC">
            <w:pPr>
              <w:pStyle w:val="Texto"/>
              <w:spacing w:line="242" w:lineRule="exact"/>
              <w:ind w:firstLine="0"/>
              <w:jc w:val="center"/>
              <w:rPr>
                <w:rFonts w:ascii="Verdana" w:hAnsi="Verdana"/>
                <w:b/>
                <w:sz w:val="16"/>
                <w:szCs w:val="16"/>
                <w:lang w:val="en-US"/>
              </w:rPr>
            </w:pPr>
            <w:r w:rsidRPr="00837D4A">
              <w:rPr>
                <w:rFonts w:ascii="Verdana" w:hAnsi="Verdana"/>
                <w:b/>
                <w:sz w:val="16"/>
                <w:szCs w:val="16"/>
              </w:rPr>
              <w:t xml:space="preserve">Energy </w:t>
            </w:r>
            <w:proofErr w:type="spellStart"/>
            <w:r w:rsidRPr="00837D4A">
              <w:rPr>
                <w:rFonts w:ascii="Verdana" w:hAnsi="Verdana"/>
                <w:b/>
                <w:sz w:val="16"/>
                <w:szCs w:val="16"/>
              </w:rPr>
              <w:t>Justice</w:t>
            </w:r>
            <w:proofErr w:type="spellEnd"/>
          </w:p>
        </w:tc>
      </w:tr>
      <w:tr w:rsidR="009849AC" w:rsidRPr="004A2321" w14:paraId="408C6685" w14:textId="0E8B51BD" w:rsidTr="00F867DE">
        <w:tc>
          <w:tcPr>
            <w:tcW w:w="4711" w:type="dxa"/>
          </w:tcPr>
          <w:p w14:paraId="25A18588"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Artículo 336. </w:t>
            </w:r>
            <w:r w:rsidRPr="00837D4A">
              <w:rPr>
                <w:rFonts w:ascii="Verdana" w:hAnsi="Verdana"/>
                <w:sz w:val="16"/>
                <w:szCs w:val="16"/>
              </w:rPr>
              <w:t>Las personas que lleven a cabo las actividades reguladas en la Ley, deben considerar para su realización, entre otros aspectos, la eficiencia, eficacia, mejores prácticas, sustentabilidad, seguridad operativa y la planeación vinculante del sector hidrocarburos a fin de contribuir con la justicia energética para el beneficio de la población.</w:t>
            </w:r>
          </w:p>
        </w:tc>
        <w:tc>
          <w:tcPr>
            <w:tcW w:w="4649" w:type="dxa"/>
          </w:tcPr>
          <w:p w14:paraId="11CB6773" w14:textId="70BD1C34"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Article 336. </w:t>
            </w:r>
            <w:r w:rsidRPr="00837D4A">
              <w:rPr>
                <w:rFonts w:ascii="Verdana" w:hAnsi="Verdana"/>
                <w:sz w:val="16"/>
                <w:szCs w:val="16"/>
                <w:lang w:val="en-US"/>
              </w:rPr>
              <w:t>Persons carrying out activities regulated by the Law must consider, among other aspects, efficiency, effectiveness, best practices, sustainability, operational safety, and binding planning of the hydrocarbon sector in order to contribute to energy justice for the benefit of the population.</w:t>
            </w:r>
          </w:p>
        </w:tc>
      </w:tr>
      <w:tr w:rsidR="009849AC" w:rsidRPr="004A2321" w14:paraId="423CE96D" w14:textId="434C6B90" w:rsidTr="00F867DE">
        <w:tc>
          <w:tcPr>
            <w:tcW w:w="4711" w:type="dxa"/>
          </w:tcPr>
          <w:p w14:paraId="6545CFAC"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sz w:val="16"/>
                <w:szCs w:val="16"/>
              </w:rPr>
              <w:lastRenderedPageBreak/>
              <w:t>Para efectos del párrafo anterior, la planeación vinculante del sector hidrocarburos debe promover y garantizar la justicia energética a través de los instrumentos que se determinen para tal efecto o los previstos en términos de la Ley de Planeación y Transición Energética, su reglamento y la demás Normatividad aplicable.</w:t>
            </w:r>
          </w:p>
        </w:tc>
        <w:tc>
          <w:tcPr>
            <w:tcW w:w="4649" w:type="dxa"/>
          </w:tcPr>
          <w:p w14:paraId="65C74369" w14:textId="7FFB5D5F" w:rsidR="009849AC" w:rsidRPr="00837D4A" w:rsidRDefault="009849AC" w:rsidP="009849AC">
            <w:pPr>
              <w:pStyle w:val="Texto"/>
              <w:spacing w:line="242" w:lineRule="exact"/>
              <w:ind w:firstLine="0"/>
              <w:rPr>
                <w:rFonts w:ascii="Verdana" w:hAnsi="Verdana"/>
                <w:sz w:val="16"/>
                <w:szCs w:val="16"/>
                <w:lang w:val="en-US"/>
              </w:rPr>
            </w:pPr>
            <w:r w:rsidRPr="00837D4A">
              <w:rPr>
                <w:rFonts w:ascii="Verdana" w:hAnsi="Verdana"/>
                <w:sz w:val="16"/>
                <w:szCs w:val="16"/>
                <w:lang w:val="en-US"/>
              </w:rPr>
              <w:t>For the purposes of the preceding paragraph, binding planning for the hydrocarbon sector must promote and guarantee energy justice through the instruments determined for this purpose or those provided for in the Law of Energy Planning and Transition, its Regulation, and other applicable legislation.</w:t>
            </w:r>
          </w:p>
        </w:tc>
      </w:tr>
      <w:tr w:rsidR="009849AC" w:rsidRPr="00D0180E" w14:paraId="1CABC5CA" w14:textId="2871F3A7" w:rsidTr="00F867DE">
        <w:tc>
          <w:tcPr>
            <w:tcW w:w="4711" w:type="dxa"/>
          </w:tcPr>
          <w:p w14:paraId="35D3E2AD" w14:textId="77777777" w:rsidR="009849AC" w:rsidRPr="00837D4A" w:rsidRDefault="009849AC" w:rsidP="009849AC">
            <w:pPr>
              <w:pStyle w:val="ANOTACION"/>
              <w:spacing w:line="242" w:lineRule="exact"/>
              <w:rPr>
                <w:rFonts w:ascii="Verdana" w:hAnsi="Verdana"/>
                <w:sz w:val="16"/>
                <w:szCs w:val="16"/>
              </w:rPr>
            </w:pPr>
            <w:r w:rsidRPr="00837D4A">
              <w:rPr>
                <w:rFonts w:ascii="Verdana" w:hAnsi="Verdana"/>
                <w:sz w:val="16"/>
                <w:szCs w:val="16"/>
              </w:rPr>
              <w:t>TRANSITORIOS</w:t>
            </w:r>
          </w:p>
        </w:tc>
        <w:tc>
          <w:tcPr>
            <w:tcW w:w="4649" w:type="dxa"/>
          </w:tcPr>
          <w:p w14:paraId="369D25B6" w14:textId="255A58F1" w:rsidR="009849AC" w:rsidRPr="00837D4A" w:rsidRDefault="009849AC" w:rsidP="009849AC">
            <w:pPr>
              <w:pStyle w:val="ANOTACION"/>
              <w:spacing w:line="242" w:lineRule="exact"/>
              <w:rPr>
                <w:rFonts w:ascii="Verdana" w:hAnsi="Verdana"/>
                <w:sz w:val="16"/>
                <w:szCs w:val="16"/>
                <w:lang w:val="en-US"/>
              </w:rPr>
            </w:pPr>
            <w:r w:rsidRPr="00837D4A">
              <w:rPr>
                <w:rFonts w:ascii="Verdana" w:hAnsi="Verdana"/>
                <w:sz w:val="16"/>
                <w:szCs w:val="16"/>
              </w:rPr>
              <w:t>TRANSITIONAL ARTICLES</w:t>
            </w:r>
          </w:p>
        </w:tc>
      </w:tr>
      <w:tr w:rsidR="009849AC" w:rsidRPr="004A2321" w14:paraId="2C3B6851" w14:textId="45BC7B01" w:rsidTr="00F867DE">
        <w:tc>
          <w:tcPr>
            <w:tcW w:w="4711" w:type="dxa"/>
          </w:tcPr>
          <w:p w14:paraId="04CFA00B"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Primero. </w:t>
            </w:r>
            <w:r w:rsidRPr="00837D4A">
              <w:rPr>
                <w:rFonts w:ascii="Verdana" w:hAnsi="Verdana"/>
                <w:sz w:val="16"/>
                <w:szCs w:val="16"/>
              </w:rPr>
              <w:t>El presente decreto entra en vigor al día siguiente de su publicación en el Diario Oficial  de la Federación.</w:t>
            </w:r>
          </w:p>
        </w:tc>
        <w:tc>
          <w:tcPr>
            <w:tcW w:w="4649" w:type="dxa"/>
          </w:tcPr>
          <w:p w14:paraId="6AC79E91" w14:textId="6C772387"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First. </w:t>
            </w:r>
            <w:r w:rsidRPr="00837D4A">
              <w:rPr>
                <w:rFonts w:ascii="Verdana" w:hAnsi="Verdana"/>
                <w:sz w:val="16"/>
                <w:szCs w:val="16"/>
                <w:lang w:val="en-US"/>
              </w:rPr>
              <w:t>This decree enters into force on the day following its publication in the Official Daily of the Federation.</w:t>
            </w:r>
          </w:p>
        </w:tc>
      </w:tr>
      <w:tr w:rsidR="009849AC" w:rsidRPr="004A2321" w14:paraId="527F88EA" w14:textId="071B0C47" w:rsidTr="00F867DE">
        <w:tc>
          <w:tcPr>
            <w:tcW w:w="4711" w:type="dxa"/>
          </w:tcPr>
          <w:p w14:paraId="7E1DA63E"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Segundo.</w:t>
            </w:r>
            <w:r w:rsidRPr="00837D4A">
              <w:rPr>
                <w:rFonts w:ascii="Verdana" w:hAnsi="Verdana"/>
                <w:sz w:val="16"/>
                <w:szCs w:val="16"/>
              </w:rPr>
              <w:t xml:space="preserve"> Se abrogan el Reglamento de la Ley de Hidrocarburos y el Reglamento de las actividades a que se refiere el Título Tercero de la Ley de Hidrocarburos, publicados en el Diario Oficial de la Federación el 31 de octubre de 2014.</w:t>
            </w:r>
          </w:p>
        </w:tc>
        <w:tc>
          <w:tcPr>
            <w:tcW w:w="4649" w:type="dxa"/>
          </w:tcPr>
          <w:p w14:paraId="33B2ACFA" w14:textId="67105D9A"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Second. </w:t>
            </w:r>
            <w:r w:rsidRPr="00837D4A">
              <w:rPr>
                <w:rFonts w:ascii="Verdana" w:hAnsi="Verdana"/>
                <w:sz w:val="16"/>
                <w:szCs w:val="16"/>
                <w:lang w:val="en-US"/>
              </w:rPr>
              <w:t>The Regulation of the Law of Hydrocarbons and the Regulation for the activities referred to in the Third Title of the Law of Hydrocarbons, published in the Official Daily of the Federation on October 31, 2014, are hereby repealed.</w:t>
            </w:r>
          </w:p>
        </w:tc>
      </w:tr>
      <w:tr w:rsidR="009849AC" w:rsidRPr="004A2321" w14:paraId="008181FD" w14:textId="68A2BA99" w:rsidTr="00F867DE">
        <w:tc>
          <w:tcPr>
            <w:tcW w:w="4711" w:type="dxa"/>
          </w:tcPr>
          <w:p w14:paraId="01B46489"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Tercero. </w:t>
            </w:r>
            <w:r w:rsidRPr="00837D4A">
              <w:rPr>
                <w:rFonts w:ascii="Verdana" w:hAnsi="Verdana"/>
                <w:sz w:val="16"/>
                <w:szCs w:val="16"/>
              </w:rPr>
              <w:t>A partir de la entrada en vigor del presente decreto, en lo que no se opongan a este, todas las referencias que en los ordenamientos jurídicos vigentes se hagan al Reglamento de la Ley de Hidrocarburos y al Reglamento de las actividades a que se refiere el Título Tercero de Ley de Hidrocarburos, se entienden hechas al presente ordenamiento.</w:t>
            </w:r>
          </w:p>
        </w:tc>
        <w:tc>
          <w:tcPr>
            <w:tcW w:w="4649" w:type="dxa"/>
          </w:tcPr>
          <w:p w14:paraId="45DD803C" w14:textId="0CAFDC15"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Third. </w:t>
            </w:r>
            <w:r w:rsidRPr="00837D4A">
              <w:rPr>
                <w:rFonts w:ascii="Verdana" w:hAnsi="Verdana"/>
                <w:sz w:val="16"/>
                <w:szCs w:val="16"/>
                <w:lang w:val="en-US"/>
              </w:rPr>
              <w:t>From the date of entry into force of this decree, insofar as they do not conflict with it, all references in current legal systems to the Regulation of the Law of Hydrocarbons and to the Regulation of the activities referred to in the Third Title of the Law of Hydrocarbons are deemed to be references to this regulation.</w:t>
            </w:r>
          </w:p>
        </w:tc>
      </w:tr>
      <w:tr w:rsidR="009849AC" w:rsidRPr="004A2321" w14:paraId="3EA168B0" w14:textId="5D8D52EA" w:rsidTr="00F867DE">
        <w:tc>
          <w:tcPr>
            <w:tcW w:w="4711" w:type="dxa"/>
          </w:tcPr>
          <w:p w14:paraId="03646C75"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Cuarto. </w:t>
            </w:r>
            <w:r w:rsidRPr="00837D4A">
              <w:rPr>
                <w:rFonts w:ascii="Verdana" w:hAnsi="Verdana"/>
                <w:sz w:val="16"/>
                <w:szCs w:val="16"/>
              </w:rPr>
              <w:t>Se abroga el Acuerdo CNH.E.60.006/2020 por el que se emiten los Lineamientos de Supervisión publicados en el Diario Oficial de la Federación el 05 de febrero de 2021.</w:t>
            </w:r>
          </w:p>
        </w:tc>
        <w:tc>
          <w:tcPr>
            <w:tcW w:w="4649" w:type="dxa"/>
          </w:tcPr>
          <w:p w14:paraId="11B2C20A" w14:textId="288E1059"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Fourth. </w:t>
            </w:r>
            <w:r w:rsidRPr="00837D4A">
              <w:rPr>
                <w:rFonts w:ascii="Verdana" w:hAnsi="Verdana"/>
                <w:sz w:val="16"/>
                <w:szCs w:val="16"/>
                <w:lang w:val="en-US"/>
              </w:rPr>
              <w:t>Agreement CNH.E.60.006/2020, which issued the Supervisory Guidelines published in the Official Daily of the Federation on February 5, 2021, is hereby repealed.</w:t>
            </w:r>
          </w:p>
        </w:tc>
      </w:tr>
      <w:tr w:rsidR="009849AC" w:rsidRPr="004A2321" w14:paraId="3ABB397F" w14:textId="11CAA3BF" w:rsidTr="00F867DE">
        <w:tc>
          <w:tcPr>
            <w:tcW w:w="4711" w:type="dxa"/>
          </w:tcPr>
          <w:p w14:paraId="513A0AC0"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Quinto. </w:t>
            </w:r>
            <w:r w:rsidRPr="00837D4A">
              <w:rPr>
                <w:rFonts w:ascii="Verdana" w:hAnsi="Verdana"/>
                <w:sz w:val="16"/>
                <w:szCs w:val="16"/>
              </w:rPr>
              <w:t>Para la aprobación del plan quinquenal de expansión del Sistema de Transporte y Almacenamiento Nacional Integrado de Gas Natural del año 2025, y al considerar que se trata del primer año del quinquenio 2025-2029, el Gestor de dicho sistema cuenta con quince días hábiles contados a partir de la entrada en vigor del presente reglamento para presentar a la Secretaría la propuesta del plan quinquenal. A partir de la recepción de la propuesta de plan quinquenal la Secretaría debe llevar a cabo el procedimiento establecido en el artículo 168 de este reglamento.</w:t>
            </w:r>
          </w:p>
        </w:tc>
        <w:tc>
          <w:tcPr>
            <w:tcW w:w="4649" w:type="dxa"/>
          </w:tcPr>
          <w:p w14:paraId="25F88D03" w14:textId="276668F0"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Fifth. </w:t>
            </w:r>
            <w:r w:rsidRPr="00837D4A">
              <w:rPr>
                <w:rFonts w:ascii="Verdana" w:hAnsi="Verdana"/>
                <w:sz w:val="16"/>
                <w:szCs w:val="16"/>
                <w:lang w:val="en-US"/>
              </w:rPr>
              <w:t xml:space="preserve">For the approval of the five-year expansion plan for the National Integrated Natural Gas Transportation and Storage System for 2025 and </w:t>
            </w:r>
            <w:proofErr w:type="spellStart"/>
            <w:r w:rsidRPr="00837D4A">
              <w:rPr>
                <w:rFonts w:ascii="Verdana" w:hAnsi="Verdana"/>
                <w:sz w:val="16"/>
                <w:szCs w:val="16"/>
                <w:lang w:val="en-US"/>
              </w:rPr>
              <w:t>econsidering</w:t>
            </w:r>
            <w:proofErr w:type="spellEnd"/>
            <w:r w:rsidRPr="00837D4A">
              <w:rPr>
                <w:rFonts w:ascii="Verdana" w:hAnsi="Verdana"/>
                <w:sz w:val="16"/>
                <w:szCs w:val="16"/>
                <w:lang w:val="en-US"/>
              </w:rPr>
              <w:t xml:space="preserve"> that this is the first year of the 2025-2029 five-year period, the Manager of said system has fifteen business days from the date of entry into force of this Regulation to submit the proposed five-year plan to the Secretary. Upon receipt of the proposed five-year plan, the Secretary must follow the procedure established in Article 168 of this Regulation.</w:t>
            </w:r>
          </w:p>
        </w:tc>
      </w:tr>
      <w:tr w:rsidR="009849AC" w:rsidRPr="004A2321" w14:paraId="0F3BDB3E" w14:textId="4B466F86" w:rsidTr="00F867DE">
        <w:tc>
          <w:tcPr>
            <w:tcW w:w="4711" w:type="dxa"/>
          </w:tcPr>
          <w:p w14:paraId="3B999D7F"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Sexto. </w:t>
            </w:r>
            <w:r w:rsidRPr="00837D4A">
              <w:rPr>
                <w:rFonts w:ascii="Verdana" w:hAnsi="Verdana"/>
                <w:sz w:val="16"/>
                <w:szCs w:val="16"/>
              </w:rPr>
              <w:t>En tanto se emita el plan quinquenal de expansión del Sistema de Transporte y Almacenamiento Nacional Integrado de Gas Natural a que se refiere el artículo 103 de la Ley, la Secretaría debe determinar los proyectos de cobertura social y los estratégicos en materia de Gas Natural, estos últimos conforme a lo previsto en el artículo 169 del presente reglamento.</w:t>
            </w:r>
          </w:p>
        </w:tc>
        <w:tc>
          <w:tcPr>
            <w:tcW w:w="4649" w:type="dxa"/>
          </w:tcPr>
          <w:p w14:paraId="683153CD" w14:textId="0E91F33B"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Sixth. </w:t>
            </w:r>
            <w:r w:rsidRPr="00837D4A">
              <w:rPr>
                <w:rFonts w:ascii="Verdana" w:hAnsi="Verdana"/>
                <w:sz w:val="16"/>
                <w:szCs w:val="16"/>
                <w:lang w:val="en-US"/>
              </w:rPr>
              <w:t>Pending the issuance of the five-year expansion plan for the National Integrated Natural Gas Transportation and Storage System referred to in Article 103 of the Law, the Secretary must determine the social coverage and strategic projects related to natural gas, the latter in accordance with the provisions of Article 169 of this Regulation.</w:t>
            </w:r>
          </w:p>
        </w:tc>
      </w:tr>
      <w:tr w:rsidR="009849AC" w:rsidRPr="004A2321" w14:paraId="451DC020" w14:textId="4768BD6F" w:rsidTr="00F867DE">
        <w:tc>
          <w:tcPr>
            <w:tcW w:w="4711" w:type="dxa"/>
          </w:tcPr>
          <w:p w14:paraId="0656A5A8"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Séptimo. </w:t>
            </w:r>
            <w:r w:rsidRPr="00837D4A">
              <w:rPr>
                <w:rFonts w:ascii="Verdana" w:hAnsi="Verdana"/>
                <w:sz w:val="16"/>
                <w:szCs w:val="16"/>
              </w:rPr>
              <w:t xml:space="preserve">En tanto se emita la Normatividad a que se refiere el presente reglamento, son vigentes y obligatorias todas las disposiciones administrativas de carácter general, Normas Oficiales Mexicanas, políticas, criterios, lineamientos, disposiciones técnicas y demás </w:t>
            </w:r>
            <w:r w:rsidRPr="00837D4A">
              <w:rPr>
                <w:rFonts w:ascii="Verdana" w:hAnsi="Verdana"/>
                <w:sz w:val="16"/>
                <w:szCs w:val="16"/>
              </w:rPr>
              <w:lastRenderedPageBreak/>
              <w:t>Normatividad emitida con anterioridad a la entrada en vigor del presente decreto, siempre que no se contrapongan con lo previsto en la Ley y el presente reglamento.</w:t>
            </w:r>
          </w:p>
        </w:tc>
        <w:tc>
          <w:tcPr>
            <w:tcW w:w="4649" w:type="dxa"/>
          </w:tcPr>
          <w:p w14:paraId="18381CA0" w14:textId="46A13DAD"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lastRenderedPageBreak/>
              <w:t xml:space="preserve">Seventh. </w:t>
            </w:r>
            <w:r w:rsidRPr="00837D4A">
              <w:rPr>
                <w:rFonts w:ascii="Verdana" w:hAnsi="Verdana"/>
                <w:sz w:val="16"/>
                <w:szCs w:val="16"/>
                <w:lang w:val="en-US"/>
              </w:rPr>
              <w:t xml:space="preserve">Until the Regulation referred to in this regulation are issued, all general administrative provisions, Official Mexican Standards, policies, criteria, guidelines, technical provisions, and other legislation  issued prior to the entry into force of this decree are </w:t>
            </w:r>
            <w:r w:rsidRPr="00837D4A">
              <w:rPr>
                <w:rFonts w:ascii="Verdana" w:hAnsi="Verdana"/>
                <w:sz w:val="16"/>
                <w:szCs w:val="16"/>
                <w:lang w:val="en-US"/>
              </w:rPr>
              <w:lastRenderedPageBreak/>
              <w:t>valid and binding, provided they do not conflict with the provisions of the Law and this regulation.</w:t>
            </w:r>
          </w:p>
        </w:tc>
      </w:tr>
      <w:tr w:rsidR="009849AC" w:rsidRPr="004A2321" w14:paraId="08190F50" w14:textId="3BAEDCAC" w:rsidTr="00F867DE">
        <w:tc>
          <w:tcPr>
            <w:tcW w:w="4711" w:type="dxa"/>
          </w:tcPr>
          <w:p w14:paraId="216057E7"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lastRenderedPageBreak/>
              <w:t xml:space="preserve">Octavo. </w:t>
            </w:r>
            <w:r w:rsidRPr="00837D4A">
              <w:rPr>
                <w:rFonts w:ascii="Verdana" w:hAnsi="Verdana"/>
                <w:sz w:val="16"/>
                <w:szCs w:val="16"/>
              </w:rPr>
              <w:t>Hasta en tanto se emitan las Normas Oficiales Mexicanas sobre especificaciones de calidad a que se refiere el presente reglamento, continúan vigentes las especificaciones de calidad actuales de los Hidrocarburos, Petrolíferos y Petroquímicos, con el fin de no afectar el suministro nacional de los mismos.</w:t>
            </w:r>
          </w:p>
        </w:tc>
        <w:tc>
          <w:tcPr>
            <w:tcW w:w="4649" w:type="dxa"/>
          </w:tcPr>
          <w:p w14:paraId="3E549551" w14:textId="0BEF359F"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Eighth. </w:t>
            </w:r>
            <w:r w:rsidRPr="00837D4A">
              <w:rPr>
                <w:rFonts w:ascii="Verdana" w:hAnsi="Verdana"/>
                <w:sz w:val="16"/>
                <w:szCs w:val="16"/>
                <w:lang w:val="en-US"/>
              </w:rPr>
              <w:t>Until the Official Mexican Standards on quality specifications referred to in this regulation are issued, the current quality specifications for hydrocarbons, petroleum products, and petrochemicals remain in effect, so as not to affect their domestic supply.</w:t>
            </w:r>
          </w:p>
        </w:tc>
      </w:tr>
      <w:tr w:rsidR="009849AC" w:rsidRPr="004A2321" w14:paraId="2C747A3A" w14:textId="4DF10E4E" w:rsidTr="00F867DE">
        <w:tc>
          <w:tcPr>
            <w:tcW w:w="4711" w:type="dxa"/>
          </w:tcPr>
          <w:p w14:paraId="446D3419"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Noveno. </w:t>
            </w:r>
            <w:r w:rsidRPr="00837D4A">
              <w:rPr>
                <w:rFonts w:ascii="Verdana" w:hAnsi="Verdana"/>
                <w:sz w:val="16"/>
                <w:szCs w:val="16"/>
              </w:rPr>
              <w:t>Hasta en tanto la Secretaría emita los ordenamientos que regulen los Mecanismos de Asignación de Capacidad, la Comisión es la responsable de resolver los asuntos en materia de Acceso Abierto y prestación de los servicios de Transporte y Distribución por medio de Ductos y Almacenamiento de Hidrocarburos, Petrolíferos y Petroquímicos, conforme a la Normatividad emitida por la entonces Comisión Reguladora de Energía.</w:t>
            </w:r>
          </w:p>
        </w:tc>
        <w:tc>
          <w:tcPr>
            <w:tcW w:w="4649" w:type="dxa"/>
          </w:tcPr>
          <w:p w14:paraId="33BEA3EC" w14:textId="047437EE"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Ninth. </w:t>
            </w:r>
            <w:r w:rsidRPr="00837D4A">
              <w:rPr>
                <w:rFonts w:ascii="Verdana" w:hAnsi="Verdana"/>
                <w:sz w:val="16"/>
                <w:szCs w:val="16"/>
                <w:lang w:val="en-US"/>
              </w:rPr>
              <w:t>Until the Secretary issues the Regulation governing the Capacity Assignment Mechanisms, the Commission is responsible for resolving issues related to Open Access and the provision of transportation and distribution services through pipelines and storage of hydrocarbons, petroleum products, and petrochemicals, in accordance with the legislation issued by the then Energy Regulatory Commission.</w:t>
            </w:r>
          </w:p>
        </w:tc>
      </w:tr>
      <w:tr w:rsidR="009849AC" w:rsidRPr="004A2321" w14:paraId="0BB1FA1C" w14:textId="33A3698E" w:rsidTr="00F867DE">
        <w:tc>
          <w:tcPr>
            <w:tcW w:w="4711" w:type="dxa"/>
          </w:tcPr>
          <w:p w14:paraId="0B81C011"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Décimo. </w:t>
            </w:r>
            <w:r w:rsidRPr="00837D4A">
              <w:rPr>
                <w:rFonts w:ascii="Verdana" w:hAnsi="Verdana"/>
                <w:sz w:val="16"/>
                <w:szCs w:val="16"/>
              </w:rPr>
              <w:t>En tanto la Secretaría emita la Normatividad correspondiente a la integración e incorporación de nueva infraestructura a los Sistemas Integrados, la Comisión es la responsable de resolver los asuntos en esta materia conforme a la Normatividad emitida por la entonces Comisión Reguladora de Energía.</w:t>
            </w:r>
          </w:p>
        </w:tc>
        <w:tc>
          <w:tcPr>
            <w:tcW w:w="4649" w:type="dxa"/>
          </w:tcPr>
          <w:p w14:paraId="1F1537BE" w14:textId="2C5CFAE2"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Tenth. </w:t>
            </w:r>
            <w:r w:rsidRPr="00837D4A">
              <w:rPr>
                <w:rFonts w:ascii="Verdana" w:hAnsi="Verdana"/>
                <w:sz w:val="16"/>
                <w:szCs w:val="16"/>
                <w:lang w:val="en-US"/>
              </w:rPr>
              <w:t>Until the Secretary issues the legislation  corresponding to the integration and incorporation of new infrastructure into the Integrated Systems, the Commission is responsible for resolving matters in this regard in accordance with the legislation issued by the then Energy Regulatory Commission.</w:t>
            </w:r>
          </w:p>
        </w:tc>
      </w:tr>
      <w:tr w:rsidR="009849AC" w:rsidRPr="004A2321" w14:paraId="0E92F617" w14:textId="0C082E9F" w:rsidTr="00F867DE">
        <w:tc>
          <w:tcPr>
            <w:tcW w:w="4711" w:type="dxa"/>
          </w:tcPr>
          <w:p w14:paraId="45D4C4E9"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Décimo Primero. </w:t>
            </w:r>
            <w:r w:rsidRPr="00837D4A">
              <w:rPr>
                <w:rFonts w:ascii="Verdana" w:hAnsi="Verdana"/>
                <w:sz w:val="16"/>
                <w:szCs w:val="16"/>
              </w:rPr>
              <w:t>En cuanto</w:t>
            </w:r>
            <w:r w:rsidRPr="00837D4A">
              <w:rPr>
                <w:rFonts w:ascii="Verdana" w:hAnsi="Verdana"/>
                <w:b/>
                <w:sz w:val="16"/>
                <w:szCs w:val="16"/>
              </w:rPr>
              <w:t xml:space="preserve"> </w:t>
            </w:r>
            <w:r w:rsidRPr="00837D4A">
              <w:rPr>
                <w:rFonts w:ascii="Verdana" w:hAnsi="Verdana"/>
                <w:sz w:val="16"/>
                <w:szCs w:val="16"/>
              </w:rPr>
              <w:t>la Secretaría o la Comisión, en el ámbito de sus competencias, emitan la Normatividad a la que deban sujetarse las personas Permisionarias que se encuentran en el supuesto de participación cruzada a que se refiere el artículo 118 de la Ley, la Comisión es la responsable de resolver los asuntos en esta materia conforme a la Normatividad emitida por la entonces Comisión Reguladora de Energía.</w:t>
            </w:r>
          </w:p>
        </w:tc>
        <w:tc>
          <w:tcPr>
            <w:tcW w:w="4649" w:type="dxa"/>
          </w:tcPr>
          <w:p w14:paraId="30F13EE3" w14:textId="4BADDAB5"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Eleventh. </w:t>
            </w:r>
            <w:r w:rsidRPr="00837D4A">
              <w:rPr>
                <w:rFonts w:ascii="Verdana" w:hAnsi="Verdana"/>
                <w:sz w:val="16"/>
                <w:szCs w:val="16"/>
                <w:lang w:val="en-US"/>
              </w:rPr>
              <w:t>As for</w:t>
            </w:r>
            <w:r w:rsidRPr="00837D4A">
              <w:rPr>
                <w:rFonts w:ascii="Verdana" w:hAnsi="Verdana"/>
                <w:b/>
                <w:sz w:val="16"/>
                <w:szCs w:val="16"/>
                <w:lang w:val="en-US"/>
              </w:rPr>
              <w:t xml:space="preserve"> </w:t>
            </w:r>
            <w:r w:rsidRPr="00837D4A">
              <w:rPr>
                <w:rFonts w:ascii="Verdana" w:hAnsi="Verdana"/>
                <w:sz w:val="16"/>
                <w:szCs w:val="16"/>
                <w:lang w:val="en-US"/>
              </w:rPr>
              <w:t>the Secretary or the Commission, within the scope of their powers, issue the legislation to which the Permit Holders who are in the case of cross-participation referred to in Article 118 of the Law must adhere, the Commission is responsible for resolving matters in this area in accordance with the legislation issued by the then Energy Regulatory Commission.</w:t>
            </w:r>
          </w:p>
        </w:tc>
      </w:tr>
      <w:tr w:rsidR="009849AC" w:rsidRPr="004A2321" w14:paraId="5063F5BB" w14:textId="32065BFD" w:rsidTr="00F867DE">
        <w:tc>
          <w:tcPr>
            <w:tcW w:w="4711" w:type="dxa"/>
          </w:tcPr>
          <w:p w14:paraId="36F782DC"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Décimo Segundo. </w:t>
            </w:r>
            <w:r w:rsidRPr="00837D4A">
              <w:rPr>
                <w:rFonts w:ascii="Verdana" w:hAnsi="Verdana"/>
                <w:sz w:val="16"/>
                <w:szCs w:val="16"/>
              </w:rPr>
              <w:t>La Secretaría y la Comisión, en el ámbito de sus competencias, deben emitir los lineamientos que establezcan el procedimiento a seguir para la emisión de la actualización de los títulos de permisos de aquellas personas que al amparo de la Ley de Hidrocarburos hayan obtenido permisos de Transporte, Almacenamiento y Comercialización de Petróleo, así como de Procesamiento de Gas Natural. Lo anterior, a efecto de que dichos permisos sean expedidos por la nueva autoridad competente acorde a lo establecido en el artículo 76 de la Ley. Asimismo, dichos lineamientos deben establecer los mecanismos que las personas Permisionarias deben seguir para cumplir con las obligaciones que tienen ante la nueva autoridad responsable de regular la actividad que les fue permisionada.</w:t>
            </w:r>
          </w:p>
        </w:tc>
        <w:tc>
          <w:tcPr>
            <w:tcW w:w="4649" w:type="dxa"/>
          </w:tcPr>
          <w:p w14:paraId="3903C45D" w14:textId="54C87677"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Twelfth. </w:t>
            </w:r>
            <w:r w:rsidRPr="00837D4A">
              <w:rPr>
                <w:rFonts w:ascii="Verdana" w:hAnsi="Verdana"/>
                <w:sz w:val="16"/>
                <w:szCs w:val="16"/>
                <w:lang w:val="en-US"/>
              </w:rPr>
              <w:t>The Secretary and the Commission, within their jurisdictions, must issue guidelines establishing the procedure to be followed for issuing updated permit titles for those who, under the Law of Hydrocarbons, have obtained permits for the transportation, storage, and marketing of petroleum, as well as for the processing of natural gas. This is so that said permits are issued by the new appropriate authority in accordance with the provisions of Article 76 of the Law. Likewise, said guidelines must establish the mechanisms that permit holders must follow to comply with their obligations to the new authority responsible for regulating the activity for which they were granted a permit.</w:t>
            </w:r>
          </w:p>
        </w:tc>
      </w:tr>
      <w:tr w:rsidR="009849AC" w:rsidRPr="004A2321" w14:paraId="41B02420" w14:textId="6090FA40" w:rsidTr="00F867DE">
        <w:tc>
          <w:tcPr>
            <w:tcW w:w="4711" w:type="dxa"/>
          </w:tcPr>
          <w:p w14:paraId="25D6EF89"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 xml:space="preserve">Hasta en tanto se emiten los citados lineamientos, las personas Permisionarias de los permisos señalados en </w:t>
            </w:r>
            <w:r w:rsidRPr="00837D4A">
              <w:rPr>
                <w:rFonts w:ascii="Verdana" w:hAnsi="Verdana"/>
                <w:sz w:val="16"/>
                <w:szCs w:val="16"/>
              </w:rPr>
              <w:lastRenderedPageBreak/>
              <w:t>el presente artículo transitorio deben cumplir con sus obligaciones mediante los mecanismos establecidos para tal efecto. La Secretaría o de la Comisión, según el caso, que reciba la información por parte de las personas Permisionarias debe enviar a la autoridad competente la información recibida para los efectos legales conducentes.</w:t>
            </w:r>
          </w:p>
        </w:tc>
        <w:tc>
          <w:tcPr>
            <w:tcW w:w="4649" w:type="dxa"/>
          </w:tcPr>
          <w:p w14:paraId="34DD5A9E" w14:textId="7607638B"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lastRenderedPageBreak/>
              <w:t xml:space="preserve">Until the aforementioned guidelines are issued, permit holders of the permits indicated in this transitional </w:t>
            </w:r>
            <w:r w:rsidRPr="00837D4A">
              <w:rPr>
                <w:rFonts w:ascii="Verdana" w:hAnsi="Verdana"/>
                <w:sz w:val="16"/>
                <w:szCs w:val="16"/>
                <w:lang w:val="en-US"/>
              </w:rPr>
              <w:lastRenderedPageBreak/>
              <w:t>article must comply with their obligations through the mechanisms established for this purpose. The Secretary or the Commission, as the case may be, that receives the information from the permit holders must forward the information to the appropriate authority for the appropriate legal purposes.</w:t>
            </w:r>
          </w:p>
        </w:tc>
      </w:tr>
      <w:tr w:rsidR="009849AC" w:rsidRPr="004A2321" w14:paraId="07E6076B" w14:textId="2AEA326C" w:rsidTr="00F867DE">
        <w:tc>
          <w:tcPr>
            <w:tcW w:w="4711" w:type="dxa"/>
          </w:tcPr>
          <w:p w14:paraId="1D66B2CC"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lastRenderedPageBreak/>
              <w:t>Décimo Tercero.</w:t>
            </w:r>
            <w:r w:rsidRPr="00837D4A">
              <w:rPr>
                <w:rFonts w:ascii="Verdana" w:hAnsi="Verdana"/>
                <w:sz w:val="16"/>
                <w:szCs w:val="16"/>
              </w:rPr>
              <w:t xml:space="preserve"> La Secretaría, dentro de un plazo no mayor a sesenta días hábiles contados a partir de la entrada en vigor del presente reglamento, debe publicar en el Diario Oficial de la Federación las disposiciones administrativas de carácter general para la planeación vinculante a que se refieren en los artículos 250 y 251 de este reglamento.</w:t>
            </w:r>
          </w:p>
        </w:tc>
        <w:tc>
          <w:tcPr>
            <w:tcW w:w="4649" w:type="dxa"/>
          </w:tcPr>
          <w:p w14:paraId="759D1699" w14:textId="7B4600E0"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Thirteenth. </w:t>
            </w:r>
            <w:r w:rsidRPr="00837D4A">
              <w:rPr>
                <w:rFonts w:ascii="Verdana" w:hAnsi="Verdana"/>
                <w:sz w:val="16"/>
                <w:szCs w:val="16"/>
                <w:lang w:val="en-US"/>
              </w:rPr>
              <w:t>The Secretary, within a period of no more than sixty business days from the date of entry into force of this regulation, must publish in the Official Daily of the Federation the general administrative provisions for binding planning referred to in Articles 250 and 251 of this regulation.</w:t>
            </w:r>
          </w:p>
        </w:tc>
      </w:tr>
      <w:tr w:rsidR="009849AC" w:rsidRPr="004A2321" w14:paraId="75A0F0E0" w14:textId="2678E2B8" w:rsidTr="00F867DE">
        <w:tc>
          <w:tcPr>
            <w:tcW w:w="4711" w:type="dxa"/>
          </w:tcPr>
          <w:p w14:paraId="1EB7360A"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Décimo Cuarto.</w:t>
            </w:r>
            <w:r w:rsidRPr="00837D4A">
              <w:rPr>
                <w:rFonts w:ascii="Verdana" w:hAnsi="Verdana"/>
                <w:sz w:val="16"/>
                <w:szCs w:val="16"/>
              </w:rPr>
              <w:t xml:space="preserve"> La modificación, actualización, cambio de control y cesión de los permisos otorgados al amparo de la legislación que se abroga, que soliciten las personas titulares de dichos permisos, se deben tramitar y resolver conforme a lo establecido en el presente reglamento.</w:t>
            </w:r>
          </w:p>
        </w:tc>
        <w:tc>
          <w:tcPr>
            <w:tcW w:w="4649" w:type="dxa"/>
          </w:tcPr>
          <w:p w14:paraId="069E7F7E" w14:textId="7C9C176C"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Fourteenth. </w:t>
            </w:r>
            <w:r w:rsidRPr="00837D4A">
              <w:rPr>
                <w:rFonts w:ascii="Verdana" w:hAnsi="Verdana"/>
                <w:sz w:val="16"/>
                <w:szCs w:val="16"/>
                <w:lang w:val="en-US"/>
              </w:rPr>
              <w:t>The modification, update, change of control, and transfer of permits granted under the repealed legislation requested by the holders of said permits, must be processed and resolved in accordance with the provisions of this regulation.</w:t>
            </w:r>
          </w:p>
        </w:tc>
      </w:tr>
      <w:tr w:rsidR="009849AC" w:rsidRPr="004A2321" w14:paraId="1FFDC9A7" w14:textId="098DC5AA" w:rsidTr="00F867DE">
        <w:tc>
          <w:tcPr>
            <w:tcW w:w="4711" w:type="dxa"/>
          </w:tcPr>
          <w:p w14:paraId="3A45BA03"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b/>
                <w:sz w:val="16"/>
                <w:szCs w:val="16"/>
              </w:rPr>
              <w:t xml:space="preserve">Décimo Quinto. </w:t>
            </w:r>
            <w:r w:rsidRPr="00837D4A">
              <w:rPr>
                <w:rFonts w:ascii="Verdana" w:hAnsi="Verdana"/>
                <w:sz w:val="16"/>
                <w:szCs w:val="16"/>
              </w:rPr>
              <w:t>Las solicitudes de contratos, permisos, autorizaciones y demás actos administrativos que se encuentren en trámite a la entrada en vigor del presente reglamento, se deben resolver conforme a la Normatividad vigente al momento de la presentación de la solicitud correspondiente.</w:t>
            </w:r>
          </w:p>
        </w:tc>
        <w:tc>
          <w:tcPr>
            <w:tcW w:w="4649" w:type="dxa"/>
          </w:tcPr>
          <w:p w14:paraId="1EE4C9C6" w14:textId="723D6CFB" w:rsidR="009849AC" w:rsidRPr="00837D4A" w:rsidRDefault="009849AC" w:rsidP="009849AC">
            <w:pPr>
              <w:pStyle w:val="Texto"/>
              <w:spacing w:line="236" w:lineRule="exact"/>
              <w:ind w:firstLine="0"/>
              <w:rPr>
                <w:rFonts w:ascii="Verdana" w:hAnsi="Verdana"/>
                <w:b/>
                <w:sz w:val="16"/>
                <w:szCs w:val="16"/>
                <w:lang w:val="en-US"/>
              </w:rPr>
            </w:pPr>
            <w:r w:rsidRPr="00837D4A">
              <w:rPr>
                <w:rFonts w:ascii="Verdana" w:hAnsi="Verdana"/>
                <w:b/>
                <w:sz w:val="16"/>
                <w:szCs w:val="16"/>
                <w:lang w:val="en-US"/>
              </w:rPr>
              <w:t xml:space="preserve">Fifteenth. </w:t>
            </w:r>
            <w:r w:rsidRPr="00837D4A">
              <w:rPr>
                <w:rFonts w:ascii="Verdana" w:hAnsi="Verdana"/>
                <w:sz w:val="16"/>
                <w:szCs w:val="16"/>
                <w:lang w:val="en-US"/>
              </w:rPr>
              <w:t>Applications for contracts, permits, authorizations, and other administrative acts that are in process upon the entry into force of this regulation must be resolved in accordance with the legislation in force at the time of submission of the corresponding application.</w:t>
            </w:r>
          </w:p>
        </w:tc>
      </w:tr>
      <w:tr w:rsidR="009849AC" w:rsidRPr="004A2321" w14:paraId="0532D2CC" w14:textId="4A1D818D" w:rsidTr="00F867DE">
        <w:tc>
          <w:tcPr>
            <w:tcW w:w="4711" w:type="dxa"/>
          </w:tcPr>
          <w:p w14:paraId="662DC6DC" w14:textId="77777777" w:rsidR="009849AC" w:rsidRPr="00837D4A" w:rsidRDefault="009849AC" w:rsidP="009849AC">
            <w:pPr>
              <w:pStyle w:val="Texto"/>
              <w:spacing w:line="236" w:lineRule="exact"/>
              <w:ind w:firstLine="0"/>
              <w:rPr>
                <w:rFonts w:ascii="Verdana" w:hAnsi="Verdana"/>
                <w:sz w:val="16"/>
                <w:szCs w:val="16"/>
              </w:rPr>
            </w:pPr>
            <w:r w:rsidRPr="00837D4A">
              <w:rPr>
                <w:rFonts w:ascii="Verdana" w:hAnsi="Verdana"/>
                <w:sz w:val="16"/>
                <w:szCs w:val="16"/>
              </w:rPr>
              <w:t>Cuando el trámite mencionado en el párrafo anterior resulte en el otorgamiento de autorizaciones, aprobaciones o permisos, su emisión, supervisión y verificación deben regularse de conformidad con lo establecido en la Ley y este reglamento, en lo que resulte aplicable. Esta disposición no tiene carácter retroactivo por que regula únicamente aspectos procesales.</w:t>
            </w:r>
          </w:p>
        </w:tc>
        <w:tc>
          <w:tcPr>
            <w:tcW w:w="4649" w:type="dxa"/>
          </w:tcPr>
          <w:p w14:paraId="68FFE925" w14:textId="233E40A7" w:rsidR="009849AC" w:rsidRPr="00837D4A" w:rsidRDefault="009849AC" w:rsidP="009849AC">
            <w:pPr>
              <w:pStyle w:val="Texto"/>
              <w:spacing w:line="236" w:lineRule="exact"/>
              <w:ind w:firstLine="0"/>
              <w:rPr>
                <w:rFonts w:ascii="Verdana" w:hAnsi="Verdana"/>
                <w:sz w:val="16"/>
                <w:szCs w:val="16"/>
                <w:lang w:val="en-US"/>
              </w:rPr>
            </w:pPr>
            <w:r w:rsidRPr="00837D4A">
              <w:rPr>
                <w:rFonts w:ascii="Verdana" w:hAnsi="Verdana"/>
                <w:sz w:val="16"/>
                <w:szCs w:val="16"/>
                <w:lang w:val="en-US"/>
              </w:rPr>
              <w:t>When the procedure mentioned in the preceding paragraph results in the granting of authorizations, approvals, or permits, their issuance, supervision, and verification must be regulated in accordance with the provisions of the Law and this Regulation, where applicable. This provision is not retroactive because it regulates only procedural aspects.</w:t>
            </w:r>
          </w:p>
        </w:tc>
      </w:tr>
      <w:tr w:rsidR="009849AC" w:rsidRPr="004A2321" w14:paraId="2D9A2436" w14:textId="3CA01200" w:rsidTr="00F867DE">
        <w:tc>
          <w:tcPr>
            <w:tcW w:w="4711" w:type="dxa"/>
          </w:tcPr>
          <w:p w14:paraId="09CD8CAB"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Décimo Sexto.</w:t>
            </w:r>
            <w:r w:rsidRPr="00837D4A">
              <w:rPr>
                <w:rFonts w:ascii="Verdana" w:hAnsi="Verdana"/>
                <w:sz w:val="16"/>
                <w:szCs w:val="16"/>
              </w:rPr>
              <w:t xml:space="preserve"> Los trámites en materia de Impacto Social que se hayan ingresado con anterioridad a la entrada en vigor del presente ordenamiento y que se encuentren pendientes de resolución se deben substanciar conforme a la Normatividad vigente al momento de su presentación.</w:t>
            </w:r>
          </w:p>
        </w:tc>
        <w:tc>
          <w:tcPr>
            <w:tcW w:w="4649" w:type="dxa"/>
          </w:tcPr>
          <w:p w14:paraId="63DF5081" w14:textId="6B6A9BF8"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Sixteenth. </w:t>
            </w:r>
            <w:r w:rsidRPr="00837D4A">
              <w:rPr>
                <w:rFonts w:ascii="Verdana" w:hAnsi="Verdana"/>
                <w:sz w:val="16"/>
                <w:szCs w:val="16"/>
                <w:lang w:val="en-US"/>
              </w:rPr>
              <w:t>Any Social Impact procedures initiated prior to the entry into force of this ordinance and pending resolution must be processed in accordance with the legislation in force at the time of their submission.</w:t>
            </w:r>
          </w:p>
        </w:tc>
      </w:tr>
      <w:tr w:rsidR="009849AC" w:rsidRPr="004A2321" w14:paraId="7F60019E" w14:textId="09206226" w:rsidTr="00F867DE">
        <w:tc>
          <w:tcPr>
            <w:tcW w:w="4711" w:type="dxa"/>
          </w:tcPr>
          <w:p w14:paraId="0D6BE5EA"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En caso de solicitar una modificación de las Evaluaciones de Impacto Social que cuenten con resolutivo en términos de la legislación que se abroga, se deben tramitar y resolver conforme a lo establecido en el presente reglamento.</w:t>
            </w:r>
          </w:p>
        </w:tc>
        <w:tc>
          <w:tcPr>
            <w:tcW w:w="4649" w:type="dxa"/>
          </w:tcPr>
          <w:p w14:paraId="3A61F3E4" w14:textId="5DA2BF74"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If a request is made for a modification to Social Impact Assessments that have a resolution under the repealed legislation, they must be processed and resolved in accordance with the provisions of this regulation.</w:t>
            </w:r>
          </w:p>
        </w:tc>
      </w:tr>
      <w:tr w:rsidR="009849AC" w:rsidRPr="004A2321" w14:paraId="0C7BD986" w14:textId="5AD6527C" w:rsidTr="00F867DE">
        <w:tc>
          <w:tcPr>
            <w:tcW w:w="4711" w:type="dxa"/>
          </w:tcPr>
          <w:p w14:paraId="212B12C5"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Las consultas previas, libres e informadas que hayan iniciado previo a la entrada en vigor de este ordenamiento se deben substanciar conforme a la Normatividad vigente al momento de su inicio.</w:t>
            </w:r>
          </w:p>
        </w:tc>
        <w:tc>
          <w:tcPr>
            <w:tcW w:w="4649" w:type="dxa"/>
          </w:tcPr>
          <w:p w14:paraId="6B274506" w14:textId="4FF6D6F5"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Any prior, free, and informed consultations initiated prior to the entry into force of this ordinance must be conducted in accordance with the legislation in force at the time of their initiation.</w:t>
            </w:r>
          </w:p>
        </w:tc>
      </w:tr>
      <w:tr w:rsidR="009849AC" w:rsidRPr="004A2321" w14:paraId="78B8E6B5" w14:textId="5C8FD92F" w:rsidTr="00F867DE">
        <w:tc>
          <w:tcPr>
            <w:tcW w:w="4711" w:type="dxa"/>
          </w:tcPr>
          <w:p w14:paraId="0654A7E0"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 xml:space="preserve">Los actos jurídicos en materia de Impacto Social y Consulta Previa emitidos o celebrados con fundamento en los reglamentos que se abrogan y las disposiciones </w:t>
            </w:r>
            <w:r w:rsidRPr="00837D4A">
              <w:rPr>
                <w:rFonts w:ascii="Verdana" w:hAnsi="Verdana"/>
                <w:sz w:val="16"/>
                <w:szCs w:val="16"/>
              </w:rPr>
              <w:lastRenderedPageBreak/>
              <w:t>jurídicas derivadas de los mismos, deben respetarse en sus términos, incluidos derechos y obligaciones que de ellos emanen.</w:t>
            </w:r>
          </w:p>
        </w:tc>
        <w:tc>
          <w:tcPr>
            <w:tcW w:w="4649" w:type="dxa"/>
          </w:tcPr>
          <w:p w14:paraId="158BD065" w14:textId="456518F6"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lastRenderedPageBreak/>
              <w:t xml:space="preserve">Legal acts regarding Social Impact and Prior Consultation issued or executed based on the repealed legislation and the legal provisions derived from them </w:t>
            </w:r>
            <w:r w:rsidRPr="00837D4A">
              <w:rPr>
                <w:rFonts w:ascii="Verdana" w:hAnsi="Verdana"/>
                <w:sz w:val="16"/>
                <w:szCs w:val="16"/>
                <w:lang w:val="en-US"/>
              </w:rPr>
              <w:lastRenderedPageBreak/>
              <w:t>must be respected in their terms, including the rights and obligations arising from them.</w:t>
            </w:r>
          </w:p>
        </w:tc>
      </w:tr>
      <w:tr w:rsidR="009849AC" w:rsidRPr="004A2321" w14:paraId="50345A60" w14:textId="2FC670E2" w:rsidTr="00F867DE">
        <w:tc>
          <w:tcPr>
            <w:tcW w:w="4711" w:type="dxa"/>
          </w:tcPr>
          <w:p w14:paraId="68779FA5" w14:textId="77777777" w:rsidR="009849AC" w:rsidRPr="00837D4A" w:rsidRDefault="009849AC" w:rsidP="009849AC">
            <w:pPr>
              <w:pStyle w:val="Texto"/>
              <w:spacing w:line="224" w:lineRule="exact"/>
              <w:ind w:firstLine="0"/>
              <w:rPr>
                <w:rFonts w:ascii="Verdana" w:hAnsi="Verdana"/>
                <w:b/>
                <w:sz w:val="16"/>
                <w:szCs w:val="16"/>
              </w:rPr>
            </w:pPr>
            <w:r w:rsidRPr="00837D4A">
              <w:rPr>
                <w:rFonts w:ascii="Verdana" w:hAnsi="Verdana"/>
                <w:b/>
                <w:sz w:val="16"/>
                <w:szCs w:val="16"/>
              </w:rPr>
              <w:lastRenderedPageBreak/>
              <w:t xml:space="preserve">Décimo Séptimo. </w:t>
            </w:r>
            <w:r w:rsidRPr="00837D4A">
              <w:rPr>
                <w:rFonts w:ascii="Verdana" w:hAnsi="Verdana"/>
                <w:sz w:val="16"/>
                <w:szCs w:val="16"/>
              </w:rPr>
              <w:t>Los trámites y procedimientos en materia de ocupación superficial que hayan iniciado previo a la entrada en vigor del presente reglamento, deben substanciarse y concluirse conforme a la Normatividad vigente al momento de su inicio y se deben regir por dichas normas.</w:t>
            </w:r>
          </w:p>
        </w:tc>
        <w:tc>
          <w:tcPr>
            <w:tcW w:w="4649" w:type="dxa"/>
          </w:tcPr>
          <w:p w14:paraId="6AE55ECC" w14:textId="6E84232D"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Seventeenth. </w:t>
            </w:r>
            <w:r w:rsidRPr="00837D4A">
              <w:rPr>
                <w:rFonts w:ascii="Verdana" w:hAnsi="Verdana"/>
                <w:sz w:val="16"/>
                <w:szCs w:val="16"/>
                <w:lang w:val="en-US"/>
              </w:rPr>
              <w:t>Procedures and formalities regarding surface occupation initiated prior to the entry into force of this regulation must be substantiated and concluded in accordance with the legislation in force at the time of their initiation and must be governed by said rules.</w:t>
            </w:r>
          </w:p>
        </w:tc>
      </w:tr>
      <w:tr w:rsidR="009849AC" w:rsidRPr="004A2321" w14:paraId="476A32A8" w14:textId="7C72A9FF" w:rsidTr="00F867DE">
        <w:tc>
          <w:tcPr>
            <w:tcW w:w="4711" w:type="dxa"/>
          </w:tcPr>
          <w:p w14:paraId="037C0220"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Los contratos de ocupación superficial que hayan sido concluidos previo a la entrada en vigor del presente ordenamiento, deben ser entregados al área competente de la Secretaría para su seguimiento.</w:t>
            </w:r>
          </w:p>
        </w:tc>
        <w:tc>
          <w:tcPr>
            <w:tcW w:w="4649" w:type="dxa"/>
          </w:tcPr>
          <w:p w14:paraId="55F09F6F" w14:textId="4E598330"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Surface occupation contracts concluded prior to the entry into force of this ordinance must be submitted to the appropriate department of the Secretary for follow-up.</w:t>
            </w:r>
          </w:p>
        </w:tc>
      </w:tr>
      <w:tr w:rsidR="009849AC" w:rsidRPr="004A2321" w14:paraId="652201B0" w14:textId="0B2152A6" w:rsidTr="00F867DE">
        <w:tc>
          <w:tcPr>
            <w:tcW w:w="4711" w:type="dxa"/>
          </w:tcPr>
          <w:p w14:paraId="5026373D"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Los actos jurídicos en materia de ocupación superficial emitidos o celebrados con fundamento en los reglamentos que se abrogan y las disposiciones jurídicas derivadas de los mismos, deben respetarse en sus términos, incluidos derechos y obligaciones que de ellos emanen.</w:t>
            </w:r>
          </w:p>
        </w:tc>
        <w:tc>
          <w:tcPr>
            <w:tcW w:w="4649" w:type="dxa"/>
          </w:tcPr>
          <w:p w14:paraId="186C5E4F" w14:textId="43BE0F21"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Legal acts regarding surface occupation issued or executed based on the repealed legislation and the legal provisions derived from them must be respected in their terms, including the rights and obligations arising from them.</w:t>
            </w:r>
          </w:p>
        </w:tc>
      </w:tr>
      <w:tr w:rsidR="009849AC" w:rsidRPr="004A2321" w14:paraId="113E0932" w14:textId="106AB26D" w:rsidTr="00F867DE">
        <w:tc>
          <w:tcPr>
            <w:tcW w:w="4711" w:type="dxa"/>
          </w:tcPr>
          <w:p w14:paraId="64A7B7AB"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 xml:space="preserve">Décimo Octavo. </w:t>
            </w:r>
            <w:r w:rsidRPr="00837D4A">
              <w:rPr>
                <w:rFonts w:ascii="Verdana" w:hAnsi="Verdana"/>
                <w:sz w:val="16"/>
                <w:szCs w:val="16"/>
              </w:rPr>
              <w:t>El pago de la contraprestación por Extracción comercial de Hidrocarburos debe subsistir en aquellos procedimientos de ocupación superficial que hayan sido iniciados con anterioridad a la entrada en vigor del presente reglamento.</w:t>
            </w:r>
          </w:p>
        </w:tc>
        <w:tc>
          <w:tcPr>
            <w:tcW w:w="4649" w:type="dxa"/>
          </w:tcPr>
          <w:p w14:paraId="684BBC23" w14:textId="2AFD1979"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Eighteenth. </w:t>
            </w:r>
            <w:r w:rsidRPr="00837D4A">
              <w:rPr>
                <w:rFonts w:ascii="Verdana" w:hAnsi="Verdana"/>
                <w:sz w:val="16"/>
                <w:szCs w:val="16"/>
                <w:lang w:val="en-US"/>
              </w:rPr>
              <w:t>Payment of the consideration for commercial hydrocarbon extraction must continue to apply to surface occupation procedures initiated prior to the entry into force of this regulation.</w:t>
            </w:r>
          </w:p>
        </w:tc>
      </w:tr>
      <w:tr w:rsidR="009849AC" w:rsidRPr="004A2321" w14:paraId="7D212E7F" w14:textId="3C7D81ED" w:rsidTr="00F867DE">
        <w:tc>
          <w:tcPr>
            <w:tcW w:w="4711" w:type="dxa"/>
          </w:tcPr>
          <w:p w14:paraId="13F37020"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 xml:space="preserve">Décimo Noveno. </w:t>
            </w:r>
            <w:r w:rsidRPr="00837D4A">
              <w:rPr>
                <w:rFonts w:ascii="Verdana" w:hAnsi="Verdana"/>
                <w:sz w:val="16"/>
                <w:szCs w:val="16"/>
              </w:rPr>
              <w:t>Para los permisos expedidos por la extinta Comisión Reguladora de Energía cuya vigencia concluya en menos de un año a la entrada en vigor del presente reglamento, se otorga un periodo de noventa días naturales para presentar la solicitud del permiso conforme a lo señalado en la Ley, el presente reglamento y la Normatividad aplicable, excepto los que en su título de permiso se señale un periodo específico para su renovación.</w:t>
            </w:r>
          </w:p>
        </w:tc>
        <w:tc>
          <w:tcPr>
            <w:tcW w:w="4649" w:type="dxa"/>
          </w:tcPr>
          <w:p w14:paraId="35EE3A90" w14:textId="207BA7C9"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Nineteenth. </w:t>
            </w:r>
            <w:r w:rsidRPr="00837D4A">
              <w:rPr>
                <w:rFonts w:ascii="Verdana" w:hAnsi="Verdana"/>
                <w:sz w:val="16"/>
                <w:szCs w:val="16"/>
                <w:lang w:val="en-US"/>
              </w:rPr>
              <w:t>For permits issued by the defunct Energy Regulatory Commission whose validity expires less than one year after the entry into force of this regulation, a period of ninety calendar days is granted to submit the permit application in accordance with the provisions of the Law, this regulation, and the applicable legislation, except for those whose permit title specifies a specific period for renewal.</w:t>
            </w:r>
          </w:p>
        </w:tc>
      </w:tr>
      <w:tr w:rsidR="009849AC" w:rsidRPr="004A2321" w14:paraId="48DB6B50" w14:textId="0F497B82" w:rsidTr="00F867DE">
        <w:tc>
          <w:tcPr>
            <w:tcW w:w="4711" w:type="dxa"/>
          </w:tcPr>
          <w:p w14:paraId="7D01CB26"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 xml:space="preserve">Vigésimo. </w:t>
            </w:r>
            <w:r w:rsidRPr="00837D4A">
              <w:rPr>
                <w:rFonts w:ascii="Verdana" w:hAnsi="Verdana"/>
                <w:sz w:val="16"/>
                <w:szCs w:val="16"/>
              </w:rPr>
              <w:t>Se reconocen los derechos adquiridos de las personas titulares de permisos otorgados al amparo del título tercero de la Ley de Hidrocarburos, sin embargo, la ejecución de la actividad permisionada durante la vigencia restante de dichos permisos se encuentra sujeta a que cumplan con las disposiciones de la Ley, su reglamento y demás Normatividad aplicable.</w:t>
            </w:r>
          </w:p>
        </w:tc>
        <w:tc>
          <w:tcPr>
            <w:tcW w:w="4649" w:type="dxa"/>
          </w:tcPr>
          <w:p w14:paraId="1113F1DC" w14:textId="2F2FD535"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Twentieth. </w:t>
            </w:r>
            <w:r w:rsidRPr="00837D4A">
              <w:rPr>
                <w:rFonts w:ascii="Verdana" w:hAnsi="Verdana"/>
                <w:sz w:val="16"/>
                <w:szCs w:val="16"/>
                <w:lang w:val="en-US"/>
              </w:rPr>
              <w:t>The acquired rights of holders of permits granted under the Third Title of the Law of Hydrocarbons are recognized; however, the execution of the permitted activity during the remaining term of said permits is subject to compliance with the provisions of the Law, its Regulation, and other applicable legislation.</w:t>
            </w:r>
          </w:p>
        </w:tc>
      </w:tr>
      <w:tr w:rsidR="009849AC" w:rsidRPr="004A2321" w14:paraId="2A2831A0" w14:textId="45325146" w:rsidTr="00F867DE">
        <w:tc>
          <w:tcPr>
            <w:tcW w:w="4711" w:type="dxa"/>
          </w:tcPr>
          <w:p w14:paraId="24B0B54E"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Por lo que hace a los permisos de Comercialización, las personas titulares de estos permisos cuentan con un plazo máximo de sesenta días hábiles contados a partir de la entrada en vigor del presente reglamento, para actualizar la información relacionada con el permiso que les fue otorgado. Para lo cual, deben remitir lo siguiente a la Secretaría o la Comisión, según corresponda:</w:t>
            </w:r>
          </w:p>
        </w:tc>
        <w:tc>
          <w:tcPr>
            <w:tcW w:w="4649" w:type="dxa"/>
          </w:tcPr>
          <w:p w14:paraId="3664C7CB" w14:textId="18EA2550"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Regarding Marketing Permits, holders of these permits have a maximum period of sixty business days from the date this regulation comes into effect to update the information related to the permit granted to them. To do so, they must submit the following to the Secretary or the Commission, as appropriate:</w:t>
            </w:r>
          </w:p>
        </w:tc>
      </w:tr>
      <w:tr w:rsidR="009849AC" w:rsidRPr="004A2321" w14:paraId="42BFBF7D" w14:textId="535176A9" w:rsidTr="00F867DE">
        <w:tc>
          <w:tcPr>
            <w:tcW w:w="4711" w:type="dxa"/>
          </w:tcPr>
          <w:p w14:paraId="63049B1E"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zona geográfica de influencia donde se desarrollan las actividades;</w:t>
            </w:r>
          </w:p>
        </w:tc>
        <w:tc>
          <w:tcPr>
            <w:tcW w:w="4649" w:type="dxa"/>
          </w:tcPr>
          <w:p w14:paraId="774208E8" w14:textId="18AF3EE3"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geographical area of influence where the activities are carried out;</w:t>
            </w:r>
          </w:p>
        </w:tc>
      </w:tr>
      <w:tr w:rsidR="009849AC" w:rsidRPr="004A2321" w14:paraId="2159E89C" w14:textId="3B5CB27A" w:rsidTr="00F867DE">
        <w:tc>
          <w:tcPr>
            <w:tcW w:w="4711" w:type="dxa"/>
          </w:tcPr>
          <w:p w14:paraId="51220656"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Los Contratos vigentes celebrados con sus proveedores y clientes, así como los demás asociados a los servicios que presenten;</w:t>
            </w:r>
          </w:p>
        </w:tc>
        <w:tc>
          <w:tcPr>
            <w:tcW w:w="4649" w:type="dxa"/>
          </w:tcPr>
          <w:p w14:paraId="6E37D872" w14:textId="160C4463"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current Contracts entered into with its suppliers and clients, as well as others associated with the services they provide;</w:t>
            </w:r>
          </w:p>
        </w:tc>
      </w:tr>
      <w:tr w:rsidR="009849AC" w:rsidRPr="004A2321" w14:paraId="7E93FAF7" w14:textId="6F777D5B" w:rsidTr="00F867DE">
        <w:tc>
          <w:tcPr>
            <w:tcW w:w="4711" w:type="dxa"/>
          </w:tcPr>
          <w:p w14:paraId="113D7A92"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El análisis de la demanda proyectada que se pretende atender durante la vigencia del permiso que les fue otorgado;</w:t>
            </w:r>
          </w:p>
        </w:tc>
        <w:tc>
          <w:tcPr>
            <w:tcW w:w="4649" w:type="dxa"/>
          </w:tcPr>
          <w:p w14:paraId="5610F448" w14:textId="6FA84D19"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analysis of the projected demand that is intended to be met during the validity of the permit granted to them;</w:t>
            </w:r>
          </w:p>
        </w:tc>
      </w:tr>
      <w:tr w:rsidR="009849AC" w:rsidRPr="004A2321" w14:paraId="12B6EABE" w14:textId="63786178" w:rsidTr="00F867DE">
        <w:tc>
          <w:tcPr>
            <w:tcW w:w="4711" w:type="dxa"/>
          </w:tcPr>
          <w:p w14:paraId="0E0FE453"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El volumen de reserva de capacidad en los sistemas de la persona Permisionaria de Transporte, Distribución o Almacenamiento con la que tenga relaciones comerciales, así como la documentación que ampare dichas relaciones;</w:t>
            </w:r>
          </w:p>
        </w:tc>
        <w:tc>
          <w:tcPr>
            <w:tcW w:w="4649" w:type="dxa"/>
          </w:tcPr>
          <w:p w14:paraId="1C402757" w14:textId="4CEA3649"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volume of capacity reservation in the systems of the transportation, distribution or storage Permit Holder with whom you have commercial relations, as well as the documentation supporting said relations;</w:t>
            </w:r>
          </w:p>
        </w:tc>
      </w:tr>
      <w:tr w:rsidR="009849AC" w:rsidRPr="004A2321" w14:paraId="6B1EB216" w14:textId="6431F9EA" w:rsidTr="00F867DE">
        <w:tc>
          <w:tcPr>
            <w:tcW w:w="4711" w:type="dxa"/>
          </w:tcPr>
          <w:p w14:paraId="0E584368"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El origen del producto que comercializa, para lo cual se debe señalar el nombre y número de permiso de la persona que lo suministra;</w:t>
            </w:r>
          </w:p>
        </w:tc>
        <w:tc>
          <w:tcPr>
            <w:tcW w:w="4649" w:type="dxa"/>
          </w:tcPr>
          <w:p w14:paraId="6C4D6085" w14:textId="4A14AAD2"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The origin of the product being marketed, for which the name and permit number of the person supplying it must be indicated;</w:t>
            </w:r>
          </w:p>
        </w:tc>
      </w:tr>
      <w:tr w:rsidR="009849AC" w:rsidRPr="004A2321" w14:paraId="6DE58CAB" w14:textId="6F7CB856" w:rsidTr="00F867DE">
        <w:tc>
          <w:tcPr>
            <w:tcW w:w="4711" w:type="dxa"/>
          </w:tcPr>
          <w:p w14:paraId="13A2F6DF"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El modelo de contrato de Comercialización que ha celebrado con sus clientes;</w:t>
            </w:r>
          </w:p>
        </w:tc>
        <w:tc>
          <w:tcPr>
            <w:tcW w:w="4649" w:type="dxa"/>
          </w:tcPr>
          <w:p w14:paraId="1EB8BC59" w14:textId="15EA110F"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The Marketing contract model that you have entered into with your clients;</w:t>
            </w:r>
          </w:p>
        </w:tc>
      </w:tr>
      <w:tr w:rsidR="009849AC" w:rsidRPr="004A2321" w14:paraId="6997EC8D" w14:textId="301E549C" w:rsidTr="00F867DE">
        <w:tc>
          <w:tcPr>
            <w:tcW w:w="4711" w:type="dxa"/>
          </w:tcPr>
          <w:p w14:paraId="1A527D26"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Las acciones que han realizado para dar cumplimiento a sus obligaciones en materia de controles volumétricos, y</w:t>
            </w:r>
          </w:p>
        </w:tc>
        <w:tc>
          <w:tcPr>
            <w:tcW w:w="4649" w:type="dxa"/>
          </w:tcPr>
          <w:p w14:paraId="16A0B9F1" w14:textId="4F9D2CF6"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The actions they have taken to comply with their obligations regarding volumetric controls, and</w:t>
            </w:r>
          </w:p>
        </w:tc>
      </w:tr>
      <w:tr w:rsidR="009849AC" w:rsidRPr="004A2321" w14:paraId="2827C73C" w14:textId="2F0A2127" w:rsidTr="00F867DE">
        <w:tc>
          <w:tcPr>
            <w:tcW w:w="4711" w:type="dxa"/>
          </w:tcPr>
          <w:p w14:paraId="045ABD96"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b/>
                <w:sz w:val="16"/>
                <w:szCs w:val="16"/>
              </w:rPr>
              <w:t>VIII.</w:t>
            </w:r>
            <w:r w:rsidRPr="00837D4A">
              <w:rPr>
                <w:rFonts w:ascii="Verdana" w:hAnsi="Verdana"/>
                <w:b/>
                <w:sz w:val="16"/>
                <w:szCs w:val="16"/>
              </w:rPr>
              <w:tab/>
            </w:r>
            <w:r w:rsidRPr="00837D4A">
              <w:rPr>
                <w:rFonts w:ascii="Verdana" w:hAnsi="Verdana"/>
                <w:sz w:val="16"/>
                <w:szCs w:val="16"/>
              </w:rPr>
              <w:t>El comprobante que acredite su domicilio actual.</w:t>
            </w:r>
          </w:p>
        </w:tc>
        <w:tc>
          <w:tcPr>
            <w:tcW w:w="4649" w:type="dxa"/>
          </w:tcPr>
          <w:p w14:paraId="32A69D66" w14:textId="5BD2C244" w:rsidR="009849AC" w:rsidRPr="00837D4A" w:rsidRDefault="009849AC" w:rsidP="009849AC">
            <w:pPr>
              <w:pStyle w:val="Texto"/>
              <w:spacing w:line="224" w:lineRule="exact"/>
              <w:ind w:firstLine="0"/>
              <w:rPr>
                <w:rFonts w:ascii="Verdana" w:hAnsi="Verdana"/>
                <w:b/>
                <w:sz w:val="16"/>
                <w:szCs w:val="16"/>
                <w:lang w:val="en-US"/>
              </w:rPr>
            </w:pPr>
            <w:r w:rsidRPr="00837D4A">
              <w:rPr>
                <w:rFonts w:ascii="Verdana" w:hAnsi="Verdana"/>
                <w:b/>
                <w:sz w:val="16"/>
                <w:szCs w:val="16"/>
                <w:lang w:val="en-US"/>
              </w:rPr>
              <w:t xml:space="preserve">VIII. </w:t>
            </w:r>
            <w:r w:rsidRPr="00837D4A">
              <w:rPr>
                <w:rFonts w:ascii="Verdana" w:hAnsi="Verdana"/>
                <w:b/>
                <w:sz w:val="16"/>
                <w:szCs w:val="16"/>
                <w:lang w:val="en-US"/>
              </w:rPr>
              <w:tab/>
            </w:r>
            <w:r w:rsidRPr="00837D4A">
              <w:rPr>
                <w:rFonts w:ascii="Verdana" w:hAnsi="Verdana"/>
                <w:sz w:val="16"/>
                <w:szCs w:val="16"/>
                <w:lang w:val="en-US"/>
              </w:rPr>
              <w:t>Proof of your current address.</w:t>
            </w:r>
          </w:p>
        </w:tc>
      </w:tr>
      <w:tr w:rsidR="009849AC" w:rsidRPr="004A2321" w14:paraId="0C16908F" w14:textId="3CF12FCA" w:rsidTr="00F867DE">
        <w:tc>
          <w:tcPr>
            <w:tcW w:w="4711" w:type="dxa"/>
          </w:tcPr>
          <w:p w14:paraId="191314ED" w14:textId="77777777" w:rsidR="009849AC" w:rsidRPr="00837D4A" w:rsidRDefault="009849AC" w:rsidP="009849AC">
            <w:pPr>
              <w:pStyle w:val="Texto"/>
              <w:spacing w:line="224" w:lineRule="exact"/>
              <w:ind w:firstLine="0"/>
              <w:rPr>
                <w:rFonts w:ascii="Verdana" w:hAnsi="Verdana"/>
                <w:sz w:val="16"/>
                <w:szCs w:val="16"/>
              </w:rPr>
            </w:pPr>
            <w:r w:rsidRPr="00837D4A">
              <w:rPr>
                <w:rFonts w:ascii="Verdana" w:hAnsi="Verdana"/>
                <w:sz w:val="16"/>
                <w:szCs w:val="16"/>
              </w:rPr>
              <w:t>Lo anterior, a efecto de que la Secretaría o la Comisión, según corresponda, cuenten con la información necesaria para fortalecer la supervisión de la actividad.</w:t>
            </w:r>
          </w:p>
        </w:tc>
        <w:tc>
          <w:tcPr>
            <w:tcW w:w="4649" w:type="dxa"/>
          </w:tcPr>
          <w:p w14:paraId="0BC33B24" w14:textId="26E86B38" w:rsidR="009849AC" w:rsidRPr="00837D4A" w:rsidRDefault="009849AC" w:rsidP="009849AC">
            <w:pPr>
              <w:pStyle w:val="Texto"/>
              <w:spacing w:line="224" w:lineRule="exact"/>
              <w:ind w:firstLine="0"/>
              <w:rPr>
                <w:rFonts w:ascii="Verdana" w:hAnsi="Verdana"/>
                <w:sz w:val="16"/>
                <w:szCs w:val="16"/>
                <w:lang w:val="en-US"/>
              </w:rPr>
            </w:pPr>
            <w:r w:rsidRPr="00837D4A">
              <w:rPr>
                <w:rFonts w:ascii="Verdana" w:hAnsi="Verdana"/>
                <w:sz w:val="16"/>
                <w:szCs w:val="16"/>
                <w:lang w:val="en-US"/>
              </w:rPr>
              <w:t>The foregoing is so that the Secretary or the Commission, as appropriate, have the necessary information to strengthen the supervision of the activity.</w:t>
            </w:r>
          </w:p>
        </w:tc>
      </w:tr>
      <w:tr w:rsidR="009849AC" w:rsidRPr="004A2321" w14:paraId="1B67EBAE" w14:textId="5BC096FD" w:rsidTr="00F867DE">
        <w:tc>
          <w:tcPr>
            <w:tcW w:w="4711" w:type="dxa"/>
          </w:tcPr>
          <w:p w14:paraId="58B463DD"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Vigésimo Primero. </w:t>
            </w:r>
            <w:r w:rsidRPr="00837D4A">
              <w:rPr>
                <w:rFonts w:ascii="Verdana" w:hAnsi="Verdana"/>
                <w:sz w:val="16"/>
                <w:szCs w:val="16"/>
              </w:rPr>
              <w:t>El registro de las transacciones comerciales, volúmenes manejados, calidad y precios aplicados a los que se refiere el artículo 202 del presente reglamento se mantiene vigente en sus términos, en tanto no se emita la Normatividad aplicable a la plataforma de información electrónica.</w:t>
            </w:r>
          </w:p>
        </w:tc>
        <w:tc>
          <w:tcPr>
            <w:tcW w:w="4649" w:type="dxa"/>
          </w:tcPr>
          <w:p w14:paraId="066D499F" w14:textId="78890758"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Twenty-first. </w:t>
            </w:r>
            <w:r w:rsidRPr="00837D4A">
              <w:rPr>
                <w:rFonts w:ascii="Verdana" w:hAnsi="Verdana"/>
                <w:sz w:val="16"/>
                <w:szCs w:val="16"/>
                <w:lang w:val="en-US"/>
              </w:rPr>
              <w:t>The record of commercial transactions, volumes handled, quality, and prices applied, as referred to in Article 202 of this regulation, remains in effect until the legislation applicable to the electronic information platform are issued.</w:t>
            </w:r>
          </w:p>
        </w:tc>
      </w:tr>
      <w:tr w:rsidR="009849AC" w:rsidRPr="004A2321" w14:paraId="4E32E607" w14:textId="29AE06D8" w:rsidTr="00F867DE">
        <w:tc>
          <w:tcPr>
            <w:tcW w:w="4711" w:type="dxa"/>
          </w:tcPr>
          <w:p w14:paraId="7CC9363E"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Vigésimo Segundo. </w:t>
            </w:r>
            <w:r w:rsidRPr="00837D4A">
              <w:rPr>
                <w:rFonts w:ascii="Verdana" w:hAnsi="Verdana"/>
                <w:sz w:val="16"/>
                <w:szCs w:val="16"/>
              </w:rPr>
              <w:t>Respecto de la migración prevista en el segundo párrafo del Transitorio Décimo Noveno de la Ley, las partes de los contratos integrales de exploración y producción que opten por la migración deben presentar conjuntamente a la Secretaría una solicitud que incluya al menos lo siguiente:</w:t>
            </w:r>
          </w:p>
        </w:tc>
        <w:tc>
          <w:tcPr>
            <w:tcW w:w="4649" w:type="dxa"/>
          </w:tcPr>
          <w:p w14:paraId="14495B25" w14:textId="613B1FDC"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Twenty-Second. </w:t>
            </w:r>
            <w:r w:rsidRPr="00837D4A">
              <w:rPr>
                <w:rFonts w:ascii="Verdana" w:hAnsi="Verdana"/>
                <w:sz w:val="16"/>
                <w:szCs w:val="16"/>
                <w:lang w:val="en-US"/>
              </w:rPr>
              <w:t>Regarding the migration provided for in the second paragraph of the Nineteenth Transitional Article of the Law, the parties to comprehensive exploration and production contracts that opt for migration must jointly submit to the Secretary an application that includes at least the following:</w:t>
            </w:r>
          </w:p>
        </w:tc>
      </w:tr>
      <w:tr w:rsidR="009849AC" w:rsidRPr="004A2321" w14:paraId="148094B9" w14:textId="5D3A69A4" w:rsidTr="00F867DE">
        <w:tc>
          <w:tcPr>
            <w:tcW w:w="4711" w:type="dxa"/>
          </w:tcPr>
          <w:p w14:paraId="11AF7DFA"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La identificación de la Asignación a migrar;</w:t>
            </w:r>
          </w:p>
        </w:tc>
        <w:tc>
          <w:tcPr>
            <w:tcW w:w="4649" w:type="dxa"/>
          </w:tcPr>
          <w:p w14:paraId="24F39232" w14:textId="0ADC0924"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The identification of the Assignment to be migrated;</w:t>
            </w:r>
          </w:p>
        </w:tc>
      </w:tr>
      <w:tr w:rsidR="009849AC" w:rsidRPr="004A2321" w14:paraId="6C752B77" w14:textId="2F3C44EF" w:rsidTr="00F867DE">
        <w:tc>
          <w:tcPr>
            <w:tcW w:w="4711" w:type="dxa"/>
          </w:tcPr>
          <w:p w14:paraId="23D639D3"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justificación de que la migración ofrece mayores beneficios para el Estado que la sustitución a una Asignación para Desarrollo Mixto, y debe considerar:</w:t>
            </w:r>
          </w:p>
        </w:tc>
        <w:tc>
          <w:tcPr>
            <w:tcW w:w="4649" w:type="dxa"/>
          </w:tcPr>
          <w:p w14:paraId="362D4437" w14:textId="7862D7FD"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justification that migration offers greater benefits to the State than replacing a Mixed Development Assignment, and must consider:</w:t>
            </w:r>
          </w:p>
        </w:tc>
      </w:tr>
      <w:tr w:rsidR="009849AC" w:rsidRPr="004A2321" w14:paraId="46001FD5" w14:textId="019EBF16" w:rsidTr="00F867DE">
        <w:tc>
          <w:tcPr>
            <w:tcW w:w="4711" w:type="dxa"/>
          </w:tcPr>
          <w:p w14:paraId="66116FEF"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a)</w:t>
            </w:r>
            <w:r w:rsidRPr="00837D4A">
              <w:rPr>
                <w:rFonts w:ascii="Verdana" w:hAnsi="Verdana"/>
                <w:b/>
                <w:sz w:val="16"/>
                <w:szCs w:val="16"/>
              </w:rPr>
              <w:tab/>
            </w:r>
            <w:r w:rsidRPr="00837D4A">
              <w:rPr>
                <w:rFonts w:ascii="Verdana" w:hAnsi="Verdana"/>
                <w:sz w:val="16"/>
                <w:szCs w:val="16"/>
              </w:rPr>
              <w:t>La producción base, y de ser el caso, incremental de Hidrocarburos, desglosada en Petróleo, Gas Natural Asociado, Gas Natural no Asociado y Condensados;</w:t>
            </w:r>
          </w:p>
        </w:tc>
        <w:tc>
          <w:tcPr>
            <w:tcW w:w="4649" w:type="dxa"/>
          </w:tcPr>
          <w:p w14:paraId="42155EF2" w14:textId="65526188"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a) </w:t>
            </w:r>
            <w:r w:rsidRPr="00837D4A">
              <w:rPr>
                <w:rFonts w:ascii="Verdana" w:hAnsi="Verdana"/>
                <w:b/>
                <w:sz w:val="16"/>
                <w:szCs w:val="16"/>
                <w:lang w:val="en-US"/>
              </w:rPr>
              <w:tab/>
            </w:r>
            <w:r w:rsidRPr="00837D4A">
              <w:rPr>
                <w:rFonts w:ascii="Verdana" w:hAnsi="Verdana"/>
                <w:sz w:val="16"/>
                <w:szCs w:val="16"/>
                <w:lang w:val="en-US"/>
              </w:rPr>
              <w:t>Base production, and if applicable, incremental production of hydrocarbons, broken down into petroleum, associated natural gas, non-associated natural gas and condensates;</w:t>
            </w:r>
          </w:p>
        </w:tc>
      </w:tr>
      <w:tr w:rsidR="009849AC" w:rsidRPr="004A2321" w14:paraId="4B5BD77E" w14:textId="48E84D58" w:rsidTr="00F867DE">
        <w:tc>
          <w:tcPr>
            <w:tcW w:w="4711" w:type="dxa"/>
          </w:tcPr>
          <w:p w14:paraId="0DD1F976"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b)</w:t>
            </w:r>
            <w:r w:rsidRPr="00837D4A">
              <w:rPr>
                <w:rFonts w:ascii="Verdana" w:hAnsi="Verdana"/>
                <w:b/>
                <w:sz w:val="16"/>
                <w:szCs w:val="16"/>
              </w:rPr>
              <w:tab/>
            </w:r>
            <w:r w:rsidRPr="00837D4A">
              <w:rPr>
                <w:rFonts w:ascii="Verdana" w:hAnsi="Verdana"/>
                <w:sz w:val="16"/>
                <w:szCs w:val="16"/>
              </w:rPr>
              <w:t>La posibilidad de incorporar Reservas adicionales, y</w:t>
            </w:r>
          </w:p>
        </w:tc>
        <w:tc>
          <w:tcPr>
            <w:tcW w:w="4649" w:type="dxa"/>
          </w:tcPr>
          <w:p w14:paraId="12EC0FB3" w14:textId="24440E67"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b) </w:t>
            </w:r>
            <w:r w:rsidRPr="00837D4A">
              <w:rPr>
                <w:rFonts w:ascii="Verdana" w:hAnsi="Verdana"/>
                <w:b/>
                <w:sz w:val="16"/>
                <w:szCs w:val="16"/>
                <w:lang w:val="en-US"/>
              </w:rPr>
              <w:tab/>
            </w:r>
            <w:r w:rsidRPr="00837D4A">
              <w:rPr>
                <w:rFonts w:ascii="Verdana" w:hAnsi="Verdana"/>
                <w:sz w:val="16"/>
                <w:szCs w:val="16"/>
                <w:lang w:val="en-US"/>
              </w:rPr>
              <w:t>The possibility of incorporating additional reserves, and</w:t>
            </w:r>
          </w:p>
        </w:tc>
      </w:tr>
      <w:tr w:rsidR="009849AC" w:rsidRPr="004A2321" w14:paraId="0E216CC1" w14:textId="0522FAA2" w:rsidTr="00F867DE">
        <w:tc>
          <w:tcPr>
            <w:tcW w:w="4711" w:type="dxa"/>
          </w:tcPr>
          <w:p w14:paraId="1D66DC62"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c)</w:t>
            </w:r>
            <w:r w:rsidRPr="00837D4A">
              <w:rPr>
                <w:rFonts w:ascii="Verdana" w:hAnsi="Verdana"/>
                <w:b/>
                <w:sz w:val="16"/>
                <w:szCs w:val="16"/>
              </w:rPr>
              <w:tab/>
            </w:r>
            <w:r w:rsidRPr="00837D4A">
              <w:rPr>
                <w:rFonts w:ascii="Verdana" w:hAnsi="Verdana"/>
                <w:sz w:val="16"/>
                <w:szCs w:val="16"/>
              </w:rPr>
              <w:t xml:space="preserve">El escenario de gastos, costos e inversiones necesarios para un desarrollo eficiente desde un punto </w:t>
            </w:r>
            <w:r w:rsidRPr="00837D4A">
              <w:rPr>
                <w:rFonts w:ascii="Verdana" w:hAnsi="Verdana"/>
                <w:sz w:val="16"/>
                <w:szCs w:val="16"/>
              </w:rPr>
              <w:lastRenderedPageBreak/>
              <w:t>de vista técnico y económico, que incluyan un programa adicional de trabajo con respecto al original;</w:t>
            </w:r>
          </w:p>
        </w:tc>
        <w:tc>
          <w:tcPr>
            <w:tcW w:w="4649" w:type="dxa"/>
          </w:tcPr>
          <w:p w14:paraId="29F5B999" w14:textId="4E1F9E1F"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lastRenderedPageBreak/>
              <w:t xml:space="preserve">c) </w:t>
            </w:r>
            <w:r w:rsidRPr="00837D4A">
              <w:rPr>
                <w:rFonts w:ascii="Verdana" w:hAnsi="Verdana"/>
                <w:b/>
                <w:sz w:val="16"/>
                <w:szCs w:val="16"/>
                <w:lang w:val="en-US"/>
              </w:rPr>
              <w:tab/>
            </w:r>
            <w:r w:rsidRPr="00837D4A">
              <w:rPr>
                <w:rFonts w:ascii="Verdana" w:hAnsi="Verdana"/>
                <w:sz w:val="16"/>
                <w:szCs w:val="16"/>
                <w:lang w:val="en-US"/>
              </w:rPr>
              <w:t xml:space="preserve">The scenario of expenses, costs and investments necessary for efficient development from </w:t>
            </w:r>
            <w:r w:rsidRPr="00837D4A">
              <w:rPr>
                <w:rFonts w:ascii="Verdana" w:hAnsi="Verdana"/>
                <w:sz w:val="16"/>
                <w:szCs w:val="16"/>
                <w:lang w:val="en-US"/>
              </w:rPr>
              <w:lastRenderedPageBreak/>
              <w:t>a technical and economic point of view, which includes an additional work program with respect to the original;</w:t>
            </w:r>
          </w:p>
        </w:tc>
      </w:tr>
      <w:tr w:rsidR="009849AC" w:rsidRPr="004A2321" w14:paraId="7E353447" w14:textId="52DDE485" w:rsidTr="00F867DE">
        <w:tc>
          <w:tcPr>
            <w:tcW w:w="4711" w:type="dxa"/>
          </w:tcPr>
          <w:p w14:paraId="3355D0BA"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lastRenderedPageBreak/>
              <w:t>III.</w:t>
            </w:r>
            <w:r w:rsidRPr="00837D4A">
              <w:rPr>
                <w:rFonts w:ascii="Verdana" w:hAnsi="Verdana"/>
                <w:b/>
                <w:sz w:val="16"/>
                <w:szCs w:val="16"/>
              </w:rPr>
              <w:tab/>
            </w:r>
            <w:r w:rsidRPr="00837D4A">
              <w:rPr>
                <w:rFonts w:ascii="Verdana" w:hAnsi="Verdana"/>
                <w:sz w:val="16"/>
                <w:szCs w:val="16"/>
              </w:rPr>
              <w:t>Los escenarios de precios utilizados;</w:t>
            </w:r>
          </w:p>
        </w:tc>
        <w:tc>
          <w:tcPr>
            <w:tcW w:w="4649" w:type="dxa"/>
          </w:tcPr>
          <w:p w14:paraId="2594962A" w14:textId="2E01D91D"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III. </w:t>
            </w:r>
            <w:r w:rsidRPr="00837D4A">
              <w:rPr>
                <w:rFonts w:ascii="Verdana" w:hAnsi="Verdana"/>
                <w:b/>
                <w:sz w:val="16"/>
                <w:szCs w:val="16"/>
                <w:lang w:val="en-US"/>
              </w:rPr>
              <w:tab/>
            </w:r>
            <w:r w:rsidRPr="00837D4A">
              <w:rPr>
                <w:rFonts w:ascii="Verdana" w:hAnsi="Verdana"/>
                <w:sz w:val="16"/>
                <w:szCs w:val="16"/>
                <w:lang w:val="en-US"/>
              </w:rPr>
              <w:t>The price scenarios used;</w:t>
            </w:r>
          </w:p>
        </w:tc>
      </w:tr>
      <w:tr w:rsidR="009849AC" w:rsidRPr="004A2321" w14:paraId="1DA41027" w14:textId="5051868C" w:rsidTr="00F867DE">
        <w:tc>
          <w:tcPr>
            <w:tcW w:w="4711" w:type="dxa"/>
          </w:tcPr>
          <w:p w14:paraId="5A237749"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IV.</w:t>
            </w:r>
            <w:r w:rsidRPr="00837D4A">
              <w:rPr>
                <w:rFonts w:ascii="Verdana" w:hAnsi="Verdana"/>
                <w:b/>
                <w:sz w:val="16"/>
                <w:szCs w:val="16"/>
              </w:rPr>
              <w:tab/>
            </w:r>
            <w:r w:rsidRPr="00837D4A">
              <w:rPr>
                <w:rFonts w:ascii="Verdana" w:hAnsi="Verdana"/>
                <w:sz w:val="16"/>
                <w:szCs w:val="16"/>
              </w:rPr>
              <w:t>Las características geológicas del área;</w:t>
            </w:r>
          </w:p>
        </w:tc>
        <w:tc>
          <w:tcPr>
            <w:tcW w:w="4649" w:type="dxa"/>
          </w:tcPr>
          <w:p w14:paraId="62A39906" w14:textId="17F2FCD0"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geological characteristics of the area;</w:t>
            </w:r>
          </w:p>
        </w:tc>
      </w:tr>
      <w:tr w:rsidR="009849AC" w:rsidRPr="004A2321" w14:paraId="06D13E5E" w14:textId="39327829" w:rsidTr="00F867DE">
        <w:tc>
          <w:tcPr>
            <w:tcW w:w="4711" w:type="dxa"/>
          </w:tcPr>
          <w:p w14:paraId="3A0C5979"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V.</w:t>
            </w:r>
            <w:r w:rsidRPr="00837D4A">
              <w:rPr>
                <w:rFonts w:ascii="Verdana" w:hAnsi="Verdana"/>
                <w:b/>
                <w:sz w:val="16"/>
                <w:szCs w:val="16"/>
              </w:rPr>
              <w:tab/>
            </w:r>
            <w:r w:rsidRPr="00837D4A">
              <w:rPr>
                <w:rFonts w:ascii="Verdana" w:hAnsi="Verdana"/>
                <w:sz w:val="16"/>
                <w:szCs w:val="16"/>
              </w:rPr>
              <w:t>La información sobre la calidad, el contenido de azufre y grados API de los Hidrocarburos, según corresponda, desglosada en Petróleo, Gas Natural Asociado, Gas Natural no Asociado y Condensados;</w:t>
            </w:r>
          </w:p>
        </w:tc>
        <w:tc>
          <w:tcPr>
            <w:tcW w:w="4649" w:type="dxa"/>
          </w:tcPr>
          <w:p w14:paraId="603895D5" w14:textId="0EDAFA6C"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V. </w:t>
            </w:r>
            <w:r w:rsidRPr="00837D4A">
              <w:rPr>
                <w:rFonts w:ascii="Verdana" w:hAnsi="Verdana"/>
                <w:b/>
                <w:sz w:val="16"/>
                <w:szCs w:val="16"/>
                <w:lang w:val="en-US"/>
              </w:rPr>
              <w:tab/>
            </w:r>
            <w:r w:rsidRPr="00837D4A">
              <w:rPr>
                <w:rFonts w:ascii="Verdana" w:hAnsi="Verdana"/>
                <w:sz w:val="16"/>
                <w:szCs w:val="16"/>
                <w:lang w:val="en-US"/>
              </w:rPr>
              <w:t>Information on the quality, sulfur content and API degrees of hydrocarbons, as applicable, broken down into petroleum, associated natural gas, non-associated natural gas and condensates;</w:t>
            </w:r>
          </w:p>
        </w:tc>
      </w:tr>
      <w:tr w:rsidR="009849AC" w:rsidRPr="004A2321" w14:paraId="055DD7F2" w14:textId="75D8FD85" w:rsidTr="00F867DE">
        <w:tc>
          <w:tcPr>
            <w:tcW w:w="4711" w:type="dxa"/>
          </w:tcPr>
          <w:p w14:paraId="24525399"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VI.</w:t>
            </w:r>
            <w:r w:rsidRPr="00837D4A">
              <w:rPr>
                <w:rFonts w:ascii="Verdana" w:hAnsi="Verdana"/>
                <w:b/>
                <w:sz w:val="16"/>
                <w:szCs w:val="16"/>
              </w:rPr>
              <w:tab/>
            </w:r>
            <w:r w:rsidRPr="00837D4A">
              <w:rPr>
                <w:rFonts w:ascii="Verdana" w:hAnsi="Verdana"/>
                <w:sz w:val="16"/>
                <w:szCs w:val="16"/>
              </w:rPr>
              <w:t>Los pozos y la descripción de la infraestructura existente dentro y alrededor del Área de Asignación a migrar, y</w:t>
            </w:r>
          </w:p>
        </w:tc>
        <w:tc>
          <w:tcPr>
            <w:tcW w:w="4649" w:type="dxa"/>
          </w:tcPr>
          <w:p w14:paraId="2082BBCC" w14:textId="5CABF2D4"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VI. </w:t>
            </w:r>
            <w:r w:rsidRPr="00837D4A">
              <w:rPr>
                <w:rFonts w:ascii="Verdana" w:hAnsi="Verdana"/>
                <w:b/>
                <w:sz w:val="16"/>
                <w:szCs w:val="16"/>
                <w:lang w:val="en-US"/>
              </w:rPr>
              <w:tab/>
            </w:r>
            <w:r w:rsidRPr="00837D4A">
              <w:rPr>
                <w:rFonts w:ascii="Verdana" w:hAnsi="Verdana"/>
                <w:sz w:val="16"/>
                <w:szCs w:val="16"/>
                <w:lang w:val="en-US"/>
              </w:rPr>
              <w:t>The wells and description of the existing infrastructure within and around the Assignment area to be migrated, and</w:t>
            </w:r>
          </w:p>
        </w:tc>
      </w:tr>
      <w:tr w:rsidR="009849AC" w:rsidRPr="004A2321" w14:paraId="29AA6479" w14:textId="526B4AEA" w:rsidTr="00F867DE">
        <w:tc>
          <w:tcPr>
            <w:tcW w:w="4711" w:type="dxa"/>
          </w:tcPr>
          <w:p w14:paraId="7C321DB3"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VII.</w:t>
            </w:r>
            <w:r w:rsidRPr="00837D4A">
              <w:rPr>
                <w:rFonts w:ascii="Verdana" w:hAnsi="Verdana"/>
                <w:b/>
                <w:sz w:val="16"/>
                <w:szCs w:val="16"/>
              </w:rPr>
              <w:tab/>
            </w:r>
            <w:r w:rsidRPr="00837D4A">
              <w:rPr>
                <w:rFonts w:ascii="Verdana" w:hAnsi="Verdana"/>
                <w:sz w:val="16"/>
                <w:szCs w:val="16"/>
              </w:rPr>
              <w:t>La propuesta de los términos bajo los cuales desean asociarse y del acuerdo de operación conjunta del Área Contractual.</w:t>
            </w:r>
          </w:p>
        </w:tc>
        <w:tc>
          <w:tcPr>
            <w:tcW w:w="4649" w:type="dxa"/>
          </w:tcPr>
          <w:p w14:paraId="7925C99F" w14:textId="6EC733E2"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VII. </w:t>
            </w:r>
            <w:r w:rsidRPr="00837D4A">
              <w:rPr>
                <w:rFonts w:ascii="Verdana" w:hAnsi="Verdana"/>
                <w:b/>
                <w:sz w:val="16"/>
                <w:szCs w:val="16"/>
                <w:lang w:val="en-US"/>
              </w:rPr>
              <w:tab/>
            </w:r>
            <w:r w:rsidRPr="00837D4A">
              <w:rPr>
                <w:rFonts w:ascii="Verdana" w:hAnsi="Verdana"/>
                <w:sz w:val="16"/>
                <w:szCs w:val="16"/>
                <w:lang w:val="en-US"/>
              </w:rPr>
              <w:t>The proposal of the terms under which they wish to associate and the joint operating agreement of the Contractual Area.</w:t>
            </w:r>
          </w:p>
        </w:tc>
      </w:tr>
      <w:tr w:rsidR="009849AC" w:rsidRPr="004A2321" w14:paraId="2BF7E60B" w14:textId="39B4D811" w:rsidTr="00F867DE">
        <w:tc>
          <w:tcPr>
            <w:tcW w:w="4711" w:type="dxa"/>
          </w:tcPr>
          <w:p w14:paraId="08DD46F5"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 xml:space="preserve">Vigésimo Tercero. </w:t>
            </w:r>
            <w:r w:rsidRPr="00837D4A">
              <w:rPr>
                <w:rFonts w:ascii="Verdana" w:hAnsi="Verdana"/>
                <w:sz w:val="16"/>
                <w:szCs w:val="16"/>
              </w:rPr>
              <w:t>La Secretaría debe resolver sobre la procedencia de la solicitud de migración a que se refiere el Transitorio anterior, de conformidad con el procedimiento siguiente:</w:t>
            </w:r>
          </w:p>
        </w:tc>
        <w:tc>
          <w:tcPr>
            <w:tcW w:w="4649" w:type="dxa"/>
          </w:tcPr>
          <w:p w14:paraId="69D1CF07" w14:textId="329B8DFC"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Twenty-Third. </w:t>
            </w:r>
            <w:r w:rsidRPr="00837D4A">
              <w:rPr>
                <w:rFonts w:ascii="Verdana" w:hAnsi="Verdana"/>
                <w:sz w:val="16"/>
                <w:szCs w:val="16"/>
                <w:lang w:val="en-US"/>
              </w:rPr>
              <w:t>The Secretary must decide on the admissibility of the migration application referred to in the preceding Transitional Article, in accordance with the following procedure:</w:t>
            </w:r>
          </w:p>
        </w:tc>
      </w:tr>
      <w:tr w:rsidR="009849AC" w:rsidRPr="004A2321" w14:paraId="38CE32A9" w14:textId="31002AFE" w:rsidTr="00F867DE">
        <w:tc>
          <w:tcPr>
            <w:tcW w:w="4711" w:type="dxa"/>
          </w:tcPr>
          <w:p w14:paraId="604100F2"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En un plazo de quince días hábiles, debe remitir a Petróleos Mexicanos la propuesta de lineamientos que regulan las etapas del procedimiento de migración de los contratos referidos. Petróleos Mexicanos debe emitir su opinión sobre dichos lineamientos en un plazo de cinco días hábiles. La Secretaría debe emitir la versión final de los lineamientos que regulan las etapas del procedimiento de migración de los contratos referidos en un periodo de cinco días hábiles;</w:t>
            </w:r>
          </w:p>
        </w:tc>
        <w:tc>
          <w:tcPr>
            <w:tcW w:w="4649" w:type="dxa"/>
          </w:tcPr>
          <w:p w14:paraId="6E7E17E1" w14:textId="359FAF9B"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Within fifteen business days, the Secretary must submit to Petróleos Mexicanos the proposed guidelines regulating the stages of the migration procedure for the aforementioned contracts. Petróleos Mexicanos must issue its opinion on these guidelines within five business days. The Secretary must issue the final version of the guidelines regulating the stages of the migration procedure for the aforementioned contracts within five business days;</w:t>
            </w:r>
          </w:p>
        </w:tc>
      </w:tr>
      <w:tr w:rsidR="009849AC" w:rsidRPr="004A2321" w14:paraId="425DCDE7" w14:textId="7667091F" w:rsidTr="00F867DE">
        <w:tc>
          <w:tcPr>
            <w:tcW w:w="4711" w:type="dxa"/>
          </w:tcPr>
          <w:p w14:paraId="597A42B4"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La Secretaría debe remitir a la Secretaría de Hacienda y Crédito Público, en un plazo de quince días hábiles, la solicitud de migración completa, los lineamientos que regulan las etapas del procedimiento de migración de los contratos referidos, la propuesta de Modelo de Contratación que corresponde al Área Contractual y la información soporte que se determine en los convenios de coordinación que al efecto suscriban dichas dependencias.</w:t>
            </w:r>
          </w:p>
        </w:tc>
        <w:tc>
          <w:tcPr>
            <w:tcW w:w="4649" w:type="dxa"/>
          </w:tcPr>
          <w:p w14:paraId="69D5EA29" w14:textId="42FC68AF"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The Secretary must submit to the Secretary of Finance and Public Credit, within fifteen business days, the complete migration request, the guidelines regulating the stages of the migration procedure for the aforementioned contracts, the proposed contracting model corresponding to the contractual area, and the supporting information determined in the coordination agreements signed by said departments for this purpose.</w:t>
            </w:r>
          </w:p>
        </w:tc>
      </w:tr>
      <w:tr w:rsidR="009849AC" w:rsidRPr="004A2321" w14:paraId="587DF836" w14:textId="4E85297E" w:rsidTr="00F867DE">
        <w:tc>
          <w:tcPr>
            <w:tcW w:w="4711" w:type="dxa"/>
          </w:tcPr>
          <w:p w14:paraId="23B100F2" w14:textId="77777777" w:rsidR="009849AC" w:rsidRPr="00837D4A" w:rsidRDefault="009849AC" w:rsidP="009849AC">
            <w:pPr>
              <w:pStyle w:val="Texto"/>
              <w:spacing w:line="242" w:lineRule="exact"/>
              <w:ind w:firstLine="0"/>
              <w:rPr>
                <w:rFonts w:ascii="Verdana" w:hAnsi="Verdana"/>
                <w:sz w:val="16"/>
                <w:szCs w:val="16"/>
              </w:rPr>
            </w:pPr>
            <w:r w:rsidRPr="00837D4A">
              <w:rPr>
                <w:rFonts w:ascii="Verdana" w:hAnsi="Verdana"/>
                <w:sz w:val="16"/>
                <w:szCs w:val="16"/>
                <w:lang w:val="en-US"/>
              </w:rPr>
              <w:tab/>
            </w:r>
            <w:r w:rsidRPr="00837D4A">
              <w:rPr>
                <w:rFonts w:ascii="Verdana" w:hAnsi="Verdana"/>
                <w:sz w:val="16"/>
                <w:szCs w:val="16"/>
              </w:rPr>
              <w:t>La Secretaría de Hacienda y Crédito Público debe emitir su opinión sobre la propuesta de Modelo de Contratación y respecto de la información prevista en la fracción VII del Transitorio inmediato anterior de este reglamento, en un plazo de cinco días hábiles;</w:t>
            </w:r>
          </w:p>
        </w:tc>
        <w:tc>
          <w:tcPr>
            <w:tcW w:w="4649" w:type="dxa"/>
          </w:tcPr>
          <w:p w14:paraId="6595B79D" w14:textId="6CD8847C" w:rsidR="009849AC" w:rsidRPr="00837D4A" w:rsidRDefault="009849AC" w:rsidP="009849AC">
            <w:pPr>
              <w:pStyle w:val="Texto"/>
              <w:spacing w:line="242" w:lineRule="exact"/>
              <w:ind w:firstLine="0"/>
              <w:rPr>
                <w:rFonts w:ascii="Verdana" w:hAnsi="Verdana"/>
                <w:sz w:val="16"/>
                <w:szCs w:val="16"/>
                <w:lang w:val="en-US"/>
              </w:rPr>
            </w:pPr>
            <w:r w:rsidRPr="00837D4A">
              <w:rPr>
                <w:rFonts w:ascii="Verdana" w:hAnsi="Verdana"/>
                <w:sz w:val="16"/>
                <w:szCs w:val="16"/>
              </w:rPr>
              <w:tab/>
            </w:r>
            <w:r w:rsidRPr="00837D4A">
              <w:rPr>
                <w:rFonts w:ascii="Verdana" w:hAnsi="Verdana"/>
                <w:sz w:val="16"/>
                <w:szCs w:val="16"/>
                <w:lang w:val="en-US"/>
              </w:rPr>
              <w:t>The Secretary of Finance and Public Credit must issue its opinion on the proposed Procurement Model and regarding the information provided for in Section VII of the immediately preceding Transitional Article of this regulation, within a period of five business days;</w:t>
            </w:r>
          </w:p>
        </w:tc>
      </w:tr>
      <w:tr w:rsidR="009849AC" w:rsidRPr="004A2321" w14:paraId="15032B31" w14:textId="3BB1F101" w:rsidTr="00F867DE">
        <w:tc>
          <w:tcPr>
            <w:tcW w:w="4711" w:type="dxa"/>
          </w:tcPr>
          <w:p w14:paraId="73A82793"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t>III.</w:t>
            </w:r>
            <w:r w:rsidRPr="00837D4A">
              <w:rPr>
                <w:rFonts w:ascii="Verdana" w:hAnsi="Verdana"/>
                <w:b/>
                <w:sz w:val="16"/>
                <w:szCs w:val="16"/>
              </w:rPr>
              <w:tab/>
            </w:r>
            <w:r w:rsidRPr="00837D4A">
              <w:rPr>
                <w:rFonts w:ascii="Verdana" w:hAnsi="Verdana"/>
                <w:sz w:val="16"/>
                <w:szCs w:val="16"/>
              </w:rPr>
              <w:t xml:space="preserve">Una vez determinado el Modelo de Contratación, la Secretaría cuenta con un plazo de veinte días hábiles para determinar los Términos y Condiciones Técnicos y solicitar a la Secretaría de Hacienda y Crédito Público que establezca las condiciones económicas relativas a los términos fiscales </w:t>
            </w:r>
            <w:r w:rsidRPr="00837D4A">
              <w:rPr>
                <w:rFonts w:ascii="Verdana" w:hAnsi="Verdana"/>
                <w:sz w:val="16"/>
                <w:szCs w:val="16"/>
              </w:rPr>
              <w:lastRenderedPageBreak/>
              <w:t>conforme a la Ley de Ingresos sobre Hidrocarburos y su reglamento, y</w:t>
            </w:r>
          </w:p>
        </w:tc>
        <w:tc>
          <w:tcPr>
            <w:tcW w:w="4649" w:type="dxa"/>
          </w:tcPr>
          <w:p w14:paraId="34778D94" w14:textId="49F0777D"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lastRenderedPageBreak/>
              <w:t xml:space="preserve">III. </w:t>
            </w:r>
            <w:r w:rsidRPr="00837D4A">
              <w:rPr>
                <w:rFonts w:ascii="Verdana" w:hAnsi="Verdana"/>
                <w:b/>
                <w:sz w:val="16"/>
                <w:szCs w:val="16"/>
                <w:lang w:val="en-US"/>
              </w:rPr>
              <w:tab/>
            </w:r>
            <w:r w:rsidRPr="00837D4A">
              <w:rPr>
                <w:rFonts w:ascii="Verdana" w:hAnsi="Verdana"/>
                <w:sz w:val="16"/>
                <w:szCs w:val="16"/>
                <w:lang w:val="en-US"/>
              </w:rPr>
              <w:t xml:space="preserve">Once the Contracting Model has been determined, the Secretary has a period of twenty business days to determine the technical terms and conditions and request the Secretary of Finance and Public Credit to establish the economic conditions </w:t>
            </w:r>
            <w:r w:rsidRPr="00837D4A">
              <w:rPr>
                <w:rFonts w:ascii="Verdana" w:hAnsi="Verdana"/>
                <w:sz w:val="16"/>
                <w:szCs w:val="16"/>
                <w:lang w:val="en-US"/>
              </w:rPr>
              <w:lastRenderedPageBreak/>
              <w:t>relating to the fiscal terms in accordance with the Hydrocarbons Revenue Law and its Regulation, and</w:t>
            </w:r>
          </w:p>
        </w:tc>
      </w:tr>
      <w:tr w:rsidR="009849AC" w:rsidRPr="004A2321" w14:paraId="551DC465" w14:textId="697F34EA" w:rsidTr="00F867DE">
        <w:tc>
          <w:tcPr>
            <w:tcW w:w="4711" w:type="dxa"/>
          </w:tcPr>
          <w:p w14:paraId="359CA2C9" w14:textId="77777777" w:rsidR="009849AC" w:rsidRPr="00837D4A" w:rsidRDefault="009849AC" w:rsidP="009849AC">
            <w:pPr>
              <w:pStyle w:val="Texto"/>
              <w:spacing w:line="242" w:lineRule="exact"/>
              <w:ind w:firstLine="0"/>
              <w:rPr>
                <w:rFonts w:ascii="Verdana" w:hAnsi="Verdana"/>
                <w:b/>
                <w:sz w:val="16"/>
                <w:szCs w:val="16"/>
              </w:rPr>
            </w:pPr>
            <w:r w:rsidRPr="00837D4A">
              <w:rPr>
                <w:rFonts w:ascii="Verdana" w:hAnsi="Verdana"/>
                <w:b/>
                <w:sz w:val="16"/>
                <w:szCs w:val="16"/>
              </w:rPr>
              <w:lastRenderedPageBreak/>
              <w:t>IV.</w:t>
            </w:r>
            <w:r w:rsidRPr="00837D4A">
              <w:rPr>
                <w:rFonts w:ascii="Verdana" w:hAnsi="Verdana"/>
                <w:b/>
                <w:sz w:val="16"/>
                <w:szCs w:val="16"/>
              </w:rPr>
              <w:tab/>
            </w:r>
            <w:r w:rsidRPr="00837D4A">
              <w:rPr>
                <w:rFonts w:ascii="Verdana" w:hAnsi="Verdana"/>
                <w:sz w:val="16"/>
                <w:szCs w:val="16"/>
              </w:rPr>
              <w:t>La Secretaría debe enviar a las partes de los contratos integrales de exploración y producción, los Términos y Condiciones Técnicos y las condiciones económicas relativas a los términos fiscales que al efecto se hayan establecido para que manifiesten la aceptación o rechazo de los mismos, en un plazo de diez días hábiles.</w:t>
            </w:r>
          </w:p>
        </w:tc>
        <w:tc>
          <w:tcPr>
            <w:tcW w:w="4649" w:type="dxa"/>
          </w:tcPr>
          <w:p w14:paraId="501DE028" w14:textId="507ED47E" w:rsidR="009849AC" w:rsidRPr="00837D4A" w:rsidRDefault="009849AC" w:rsidP="009849AC">
            <w:pPr>
              <w:pStyle w:val="Texto"/>
              <w:spacing w:line="242" w:lineRule="exact"/>
              <w:ind w:firstLine="0"/>
              <w:rPr>
                <w:rFonts w:ascii="Verdana" w:hAnsi="Verdana"/>
                <w:b/>
                <w:sz w:val="16"/>
                <w:szCs w:val="16"/>
                <w:lang w:val="en-US"/>
              </w:rPr>
            </w:pPr>
            <w:r w:rsidRPr="00837D4A">
              <w:rPr>
                <w:rFonts w:ascii="Verdana" w:hAnsi="Verdana"/>
                <w:b/>
                <w:sz w:val="16"/>
                <w:szCs w:val="16"/>
                <w:lang w:val="en-US"/>
              </w:rPr>
              <w:t xml:space="preserve">IV. </w:t>
            </w:r>
            <w:r w:rsidRPr="00837D4A">
              <w:rPr>
                <w:rFonts w:ascii="Verdana" w:hAnsi="Verdana"/>
                <w:b/>
                <w:sz w:val="16"/>
                <w:szCs w:val="16"/>
                <w:lang w:val="en-US"/>
              </w:rPr>
              <w:tab/>
            </w:r>
            <w:r w:rsidRPr="00837D4A">
              <w:rPr>
                <w:rFonts w:ascii="Verdana" w:hAnsi="Verdana"/>
                <w:sz w:val="16"/>
                <w:szCs w:val="16"/>
                <w:lang w:val="en-US"/>
              </w:rPr>
              <w:t>The Secretary must send the parties to comprehensive exploration and production contracts the Technical Terms and Conditions and the economic conditions relating to the fiscal terms established for this purpose, so that they may express their acceptance or rejection within a period of ten business days.</w:t>
            </w:r>
          </w:p>
        </w:tc>
      </w:tr>
      <w:tr w:rsidR="009849AC" w:rsidRPr="00067E05" w14:paraId="29F9B2B6" w14:textId="252D2EA2" w:rsidTr="00F867DE">
        <w:tc>
          <w:tcPr>
            <w:tcW w:w="4711" w:type="dxa"/>
          </w:tcPr>
          <w:p w14:paraId="72044C8D"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En caso de rechazo, las partes de los contratos integrales de exploración y producción tienen el derecho de mantener su relación contractual en sus términos originales.</w:t>
            </w:r>
          </w:p>
        </w:tc>
        <w:tc>
          <w:tcPr>
            <w:tcW w:w="4649" w:type="dxa"/>
          </w:tcPr>
          <w:p w14:paraId="5162B6FF" w14:textId="63E940D3"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In the event of rejection, the parties to comprehensive exploration and production contracts have the right to maintain their contractual relationship under its original terms.</w:t>
            </w:r>
          </w:p>
        </w:tc>
      </w:tr>
      <w:tr w:rsidR="009849AC" w:rsidRPr="00067E05" w14:paraId="07C19A18" w14:textId="53132CAD" w:rsidTr="00F867DE">
        <w:tc>
          <w:tcPr>
            <w:tcW w:w="4711" w:type="dxa"/>
          </w:tcPr>
          <w:p w14:paraId="6B49C2C3"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En caso de que las partes de los contratos integrales de exploración y producción manifiesten su aceptación, la Secretaría debe suscribir el Contrato para la Exploración y Extracción, en un plazo de diez días hábiles.</w:t>
            </w:r>
          </w:p>
        </w:tc>
        <w:tc>
          <w:tcPr>
            <w:tcW w:w="4649" w:type="dxa"/>
          </w:tcPr>
          <w:p w14:paraId="21A5D319" w14:textId="2FC4A1D8"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If the parties to the comprehensive exploration and production contracts express their acceptance, the Secretary must sign the Exploration and Extraction Contract within ten business days.</w:t>
            </w:r>
          </w:p>
        </w:tc>
      </w:tr>
      <w:tr w:rsidR="009849AC" w:rsidRPr="00067E05" w14:paraId="48BC41A9" w14:textId="71A02F49" w:rsidTr="00F867DE">
        <w:tc>
          <w:tcPr>
            <w:tcW w:w="4711" w:type="dxa"/>
          </w:tcPr>
          <w:p w14:paraId="294149E3"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Vigésimo Cuarto.</w:t>
            </w:r>
            <w:r w:rsidRPr="00837D4A">
              <w:rPr>
                <w:rFonts w:ascii="Verdana" w:hAnsi="Verdana"/>
                <w:sz w:val="16"/>
                <w:szCs w:val="16"/>
              </w:rPr>
              <w:t xml:space="preserve"> Para efectos de lo previsto en el último párrafo del artículo Décimo Noveno transitorio de la Ley, la solicitud que presente Petróleos Mexicanos debe sujetarse a lo previsto en los artículos 25 y 28 de la Ley y lo previsto en el presente reglamento.</w:t>
            </w:r>
          </w:p>
        </w:tc>
        <w:tc>
          <w:tcPr>
            <w:tcW w:w="4649" w:type="dxa"/>
          </w:tcPr>
          <w:p w14:paraId="2942EF1E" w14:textId="085F47AC"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Twenty-fourth. </w:t>
            </w:r>
            <w:r w:rsidRPr="00837D4A">
              <w:rPr>
                <w:rFonts w:ascii="Verdana" w:hAnsi="Verdana"/>
                <w:sz w:val="16"/>
                <w:szCs w:val="16"/>
                <w:lang w:val="en-US"/>
              </w:rPr>
              <w:t>For the purposes of the final paragraph of the Nineteenth Transitional Article of the Law, the application submitted by Petróleos Mexicanos must comply with the provisions of Articles 25 and 28 of the Law and the provisions of this Regulation.</w:t>
            </w:r>
          </w:p>
        </w:tc>
      </w:tr>
      <w:tr w:rsidR="009849AC" w:rsidRPr="00067E05" w14:paraId="3AC16235" w14:textId="07DC2572" w:rsidTr="00F867DE">
        <w:tc>
          <w:tcPr>
            <w:tcW w:w="4711" w:type="dxa"/>
          </w:tcPr>
          <w:p w14:paraId="792FD312"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Vigésimo Quinto.</w:t>
            </w:r>
            <w:r w:rsidRPr="00837D4A">
              <w:rPr>
                <w:rFonts w:ascii="Verdana" w:hAnsi="Verdana"/>
                <w:sz w:val="16"/>
                <w:szCs w:val="16"/>
              </w:rPr>
              <w:t xml:space="preserve"> La Secretaría y la Secretaría de Hacienda y Crédito Público, en el ámbito de sus competencias y de manera conjunta, pueden emitir disposiciones de carácter general que establezcan los lineamientos y procedimientos aplicables para que, previa evaluación técnica, económica y jurídica, se determine la viabilidad de sustituir la modalidad de Contrato para la Exploración y Extracción de Hidrocarburos por la de Asignación, siempre que ello represente mejores condiciones para el Estado mexicano, incremente la renta petrolera o fortalezca a la empresa pública del Estado. Lo anterior se realizará en estricto apego a las facultades conferidas por la Ley Orgánica de la Administración Pública Federal, la Ley del Sector Hidrocarburos y demás disposiciones aplicables.</w:t>
            </w:r>
          </w:p>
        </w:tc>
        <w:tc>
          <w:tcPr>
            <w:tcW w:w="4649" w:type="dxa"/>
          </w:tcPr>
          <w:p w14:paraId="23954E33" w14:textId="3AEA881D"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Twenty-Fifth. </w:t>
            </w:r>
            <w:r w:rsidRPr="00837D4A">
              <w:rPr>
                <w:rFonts w:ascii="Verdana" w:hAnsi="Verdana"/>
                <w:sz w:val="16"/>
                <w:szCs w:val="16"/>
                <w:lang w:val="en-US"/>
              </w:rPr>
              <w:t>The Secretary and the Secretary of Finance and Public Credit, within the scope of their respective powers and jointly, may issue general provisions establishing the guidelines and procedures applicable to determine, following a technical, economic, and legal evaluation, the feasibility of replacing the Hydrocarbon Exploration and Extraction Contract modality with the Assignment Contract modality, provided that this represents better conditions for the Mexican State, increases oil revenues, or strengthens the state-owned company. This will be carried out in strict compliance with the powers conferred by the Organic Law of the Federal Public Administration, the Law of the Hydrocarbons Sector, and other applicable provisions.</w:t>
            </w:r>
          </w:p>
        </w:tc>
      </w:tr>
      <w:tr w:rsidR="009849AC" w:rsidRPr="00067E05" w14:paraId="0EBC06B4" w14:textId="31E5AE74" w:rsidTr="00F867DE">
        <w:tc>
          <w:tcPr>
            <w:tcW w:w="4711" w:type="dxa"/>
          </w:tcPr>
          <w:p w14:paraId="27E17115"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 xml:space="preserve">Vigésimo Sexto. </w:t>
            </w:r>
            <w:r w:rsidRPr="00837D4A">
              <w:rPr>
                <w:rFonts w:ascii="Verdana" w:hAnsi="Verdana"/>
                <w:sz w:val="16"/>
                <w:szCs w:val="16"/>
              </w:rPr>
              <w:t>Los Contratos para la Exploración y Extracción vigentes, respecto a los cuales se haya iniciado algún procedimiento de terminación anticipada, continúan su trámite conforme a la Ley y disposiciones vigentes aplicables al momento del inicio de dicho procedimiento, en términos del Transitorio Décimo de la Ley.</w:t>
            </w:r>
          </w:p>
        </w:tc>
        <w:tc>
          <w:tcPr>
            <w:tcW w:w="4649" w:type="dxa"/>
          </w:tcPr>
          <w:p w14:paraId="53626D42" w14:textId="47A05024"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Twenty-sixth. </w:t>
            </w:r>
            <w:r w:rsidRPr="00837D4A">
              <w:rPr>
                <w:rFonts w:ascii="Verdana" w:hAnsi="Verdana"/>
                <w:sz w:val="16"/>
                <w:szCs w:val="16"/>
                <w:lang w:val="en-US"/>
              </w:rPr>
              <w:t>Current Exploration and Extraction Contracts for which an early termination procedure has been initiated shall continue to be processed in accordance with the Law and provisions in force applicable at the time of the initiation of said procedure, in accordance with the Tenth Transitional Article of the Law.</w:t>
            </w:r>
          </w:p>
        </w:tc>
      </w:tr>
      <w:tr w:rsidR="009849AC" w:rsidRPr="00067E05" w14:paraId="37091583" w14:textId="02066402" w:rsidTr="00F867DE">
        <w:tc>
          <w:tcPr>
            <w:tcW w:w="4711" w:type="dxa"/>
          </w:tcPr>
          <w:p w14:paraId="5E59D339" w14:textId="77777777" w:rsidR="009849AC" w:rsidRPr="00837D4A" w:rsidRDefault="009849AC" w:rsidP="009849AC">
            <w:pPr>
              <w:pStyle w:val="Texto"/>
              <w:spacing w:line="238" w:lineRule="exact"/>
              <w:ind w:firstLine="0"/>
              <w:rPr>
                <w:rFonts w:ascii="Verdana" w:hAnsi="Verdana"/>
                <w:b/>
                <w:sz w:val="16"/>
                <w:szCs w:val="16"/>
              </w:rPr>
            </w:pPr>
            <w:r w:rsidRPr="00837D4A">
              <w:rPr>
                <w:rFonts w:ascii="Verdana" w:hAnsi="Verdana"/>
                <w:sz w:val="16"/>
                <w:szCs w:val="16"/>
              </w:rPr>
              <w:t>La Secretaría puede emitir los actos que sean necesarios para brindar certeza jurídica a las personas Contratistas sobre las fechas en las que culminaron los derechos y obligaciones de Exploración y Extracción respecto a la parte del Área Contractual en cuestión y, en su caso, la fecha de terminación del Contrato correspondiente.</w:t>
            </w:r>
          </w:p>
        </w:tc>
        <w:tc>
          <w:tcPr>
            <w:tcW w:w="4649" w:type="dxa"/>
          </w:tcPr>
          <w:p w14:paraId="4A374AD6" w14:textId="793B4A37"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The Secretary may issue the necessary acts to provide legal certainty to the Contractors regarding the dates on which the Exploration and Extraction rights and obligations regarding the part of the Contract Area in question were completed and, where applicable, the termination date of the corresponding Contract.</w:t>
            </w:r>
          </w:p>
        </w:tc>
      </w:tr>
      <w:tr w:rsidR="009849AC" w:rsidRPr="00067E05" w14:paraId="5D7DFD41" w14:textId="463ED0BB" w:rsidTr="00F867DE">
        <w:tc>
          <w:tcPr>
            <w:tcW w:w="4711" w:type="dxa"/>
          </w:tcPr>
          <w:p w14:paraId="728B1A54" w14:textId="77777777" w:rsidR="009849AC" w:rsidRPr="00837D4A" w:rsidRDefault="009849AC" w:rsidP="009849AC">
            <w:pPr>
              <w:pStyle w:val="Texto"/>
              <w:spacing w:line="238" w:lineRule="exact"/>
              <w:ind w:firstLine="0"/>
              <w:rPr>
                <w:rFonts w:ascii="Verdana" w:hAnsi="Verdana"/>
                <w:b/>
                <w:sz w:val="16"/>
                <w:szCs w:val="16"/>
              </w:rPr>
            </w:pPr>
            <w:r w:rsidRPr="00837D4A">
              <w:rPr>
                <w:rFonts w:ascii="Verdana" w:hAnsi="Verdana"/>
                <w:b/>
                <w:sz w:val="16"/>
                <w:szCs w:val="16"/>
              </w:rPr>
              <w:lastRenderedPageBreak/>
              <w:t xml:space="preserve">Vigésimo Séptimo. </w:t>
            </w:r>
            <w:r w:rsidRPr="00837D4A">
              <w:rPr>
                <w:rFonts w:ascii="Verdana" w:hAnsi="Verdana"/>
                <w:sz w:val="16"/>
                <w:szCs w:val="16"/>
              </w:rPr>
              <w:t>Como parte del proceso para celebrar los convenios modificatorios de los Contratos para la Exploración y Extracción a que se refiere el último párrafo del Transitorio Décimo de la Ley, derivado del cambio de naturaleza jurídica de Petróleos Mexicanos, la Secretaría debe solicitar a Petróleos Mexicanos únicamente las garantías de cumplimiento respectivas en los Contratos en los que participe en consorcio. En los casos en que sea Contratista individual, está exceptuado de presentar cualquier tipo de garantía, de conformidad con el Transitorio Décimo Séptimo de la Ley de la Empresa Pública del Estado, Petróleos Mexicanos.</w:t>
            </w:r>
          </w:p>
        </w:tc>
        <w:tc>
          <w:tcPr>
            <w:tcW w:w="4649" w:type="dxa"/>
          </w:tcPr>
          <w:p w14:paraId="72DA705F" w14:textId="33EE9C5F"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Twenty-Seventh. </w:t>
            </w:r>
            <w:r w:rsidRPr="00837D4A">
              <w:rPr>
                <w:rFonts w:ascii="Verdana" w:hAnsi="Verdana"/>
                <w:sz w:val="16"/>
                <w:szCs w:val="16"/>
                <w:lang w:val="en-US"/>
              </w:rPr>
              <w:t>As part of the process for entering into the amendment agreements for the Exploration and Extraction Contracts referred to in the last paragraph of the Tenth Transitional Article of the Law, resulting from the change in the legal nature of Petróleos Mexicanos, the Secretary must request from Petróleos Mexicanos only the respective performance guarantees for the Contracts in which it participates in a consortium. In cases where it is an individual Contractor, it is exempt from submitting any type of guarantee, in accordance with the Seventeenth Transitional Article of the Law of the State-Owned Enterprise, Petróleos Mexicanos.</w:t>
            </w:r>
          </w:p>
        </w:tc>
      </w:tr>
      <w:tr w:rsidR="009849AC" w:rsidRPr="00067E05" w14:paraId="7B71B3CF" w14:textId="4115CF91" w:rsidTr="00F867DE">
        <w:tc>
          <w:tcPr>
            <w:tcW w:w="4711" w:type="dxa"/>
          </w:tcPr>
          <w:p w14:paraId="45698074"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b/>
                <w:sz w:val="16"/>
                <w:szCs w:val="16"/>
              </w:rPr>
              <w:t xml:space="preserve">Vigésimo Octavo. </w:t>
            </w:r>
            <w:r w:rsidRPr="00837D4A">
              <w:rPr>
                <w:rFonts w:ascii="Verdana" w:hAnsi="Verdana"/>
                <w:sz w:val="16"/>
                <w:szCs w:val="16"/>
              </w:rPr>
              <w:t>Sin perjuicio de lo señalado en el Décimo Séptimo Transitorio de la Ley, de manera excepcional, la Comisión puede analizar las solicitudes presentadas cuyo objetivo sea obtener el permiso provisional para elaborar y comercializar los productos que cumplan con los compromisos en materia de mitigación del impacto ambiental de las emisiones de dióxido de carbono producidas por la aviación.</w:t>
            </w:r>
          </w:p>
        </w:tc>
        <w:tc>
          <w:tcPr>
            <w:tcW w:w="4649" w:type="dxa"/>
          </w:tcPr>
          <w:p w14:paraId="7CC8CC9B" w14:textId="4D242395"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t xml:space="preserve">Twenty-eighth. </w:t>
            </w:r>
            <w:r w:rsidRPr="00837D4A">
              <w:rPr>
                <w:rFonts w:ascii="Verdana" w:hAnsi="Verdana"/>
                <w:sz w:val="16"/>
                <w:szCs w:val="16"/>
                <w:lang w:val="en-US"/>
              </w:rPr>
              <w:t>Notwithstanding the provisions of the Seventeenth Transitional Article of the Law, the Commission may, on an exceptional basis, review applications submitted for the purpose of obtaining provisional permission to manufacture and market products that comply with commitments regarding mitigation of the environmental impact of carbon dioxide emissions produced by aviation.</w:t>
            </w:r>
          </w:p>
        </w:tc>
      </w:tr>
      <w:tr w:rsidR="009849AC" w:rsidRPr="00067E05" w14:paraId="6D335DF0" w14:textId="3E5E5BD5" w:rsidTr="00F867DE">
        <w:tc>
          <w:tcPr>
            <w:tcW w:w="4711" w:type="dxa"/>
          </w:tcPr>
          <w:p w14:paraId="540C0BF3" w14:textId="77777777" w:rsidR="009849AC" w:rsidRPr="00837D4A" w:rsidRDefault="009849AC" w:rsidP="009849AC">
            <w:pPr>
              <w:pStyle w:val="Texto"/>
              <w:spacing w:line="238" w:lineRule="exact"/>
              <w:ind w:firstLine="0"/>
              <w:rPr>
                <w:rFonts w:ascii="Verdana" w:hAnsi="Verdana"/>
                <w:sz w:val="16"/>
                <w:szCs w:val="16"/>
              </w:rPr>
            </w:pPr>
            <w:r w:rsidRPr="00837D4A">
              <w:rPr>
                <w:rFonts w:ascii="Verdana" w:hAnsi="Verdana"/>
                <w:sz w:val="16"/>
                <w:szCs w:val="16"/>
              </w:rPr>
              <w:t>Los permisos a que se refiere el párrafo anterior sólo se pueden otorgar de manera condicionada a que la Secretaría emita una opinión favorable, en términos de preservar la soberanía y justicia energética de la Nación, y bajo la planeación vinculante a que se refiere el artículo 8 de la Ley, así como lo contenido en el artículo 250 del presente reglamento.</w:t>
            </w:r>
          </w:p>
        </w:tc>
        <w:tc>
          <w:tcPr>
            <w:tcW w:w="4649" w:type="dxa"/>
          </w:tcPr>
          <w:p w14:paraId="44F5C83B" w14:textId="0922E899"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The permits referred to in the preceding paragraph may only be granted subject to the Secretary's issuance of a favorable opinion, in terms of preserving the nation's energy sovereignty and justice, and under the binding planning referred to in Article 8 of the Law, as well as the provisions of Article 250 of this Regulation.</w:t>
            </w:r>
          </w:p>
        </w:tc>
      </w:tr>
      <w:tr w:rsidR="009849AC" w:rsidRPr="00067E05" w14:paraId="4B7B7A49" w14:textId="240F4EB6" w:rsidTr="00F867DE">
        <w:tc>
          <w:tcPr>
            <w:tcW w:w="4711" w:type="dxa"/>
          </w:tcPr>
          <w:p w14:paraId="66A7B945" w14:textId="77777777" w:rsidR="009849AC" w:rsidRPr="00837D4A" w:rsidRDefault="009849AC" w:rsidP="009849AC">
            <w:pPr>
              <w:pStyle w:val="Texto"/>
              <w:spacing w:line="238" w:lineRule="exact"/>
              <w:ind w:firstLine="0"/>
              <w:rPr>
                <w:rFonts w:ascii="Verdana" w:hAnsi="Verdana"/>
                <w:b/>
                <w:sz w:val="16"/>
                <w:szCs w:val="16"/>
              </w:rPr>
            </w:pPr>
            <w:r w:rsidRPr="00837D4A">
              <w:rPr>
                <w:rFonts w:ascii="Verdana" w:hAnsi="Verdana"/>
                <w:sz w:val="16"/>
                <w:szCs w:val="16"/>
              </w:rPr>
              <w:t>Una vez que se emitan las disposiciones administrativas a que se refiere el primer párrafo de este Transitorio, las entidades de la administración pública paraestatal o Particulares a las que se haya otorgado el permiso provisional antes referido cuentan con un plazo máximo de noventa días hábiles para solicitar la emisión del permiso correspondiente, en términos de la Normatividad emitida.</w:t>
            </w:r>
          </w:p>
        </w:tc>
        <w:tc>
          <w:tcPr>
            <w:tcW w:w="4649" w:type="dxa"/>
          </w:tcPr>
          <w:p w14:paraId="7A4B5655" w14:textId="32ACA533" w:rsidR="009849AC" w:rsidRPr="00837D4A" w:rsidRDefault="009849AC" w:rsidP="009849AC">
            <w:pPr>
              <w:pStyle w:val="Texto"/>
              <w:spacing w:line="238" w:lineRule="exact"/>
              <w:ind w:firstLine="0"/>
              <w:rPr>
                <w:rFonts w:ascii="Verdana" w:hAnsi="Verdana"/>
                <w:sz w:val="16"/>
                <w:szCs w:val="16"/>
                <w:lang w:val="en-US"/>
              </w:rPr>
            </w:pPr>
            <w:r w:rsidRPr="00837D4A">
              <w:rPr>
                <w:rFonts w:ascii="Verdana" w:hAnsi="Verdana"/>
                <w:sz w:val="16"/>
                <w:szCs w:val="16"/>
                <w:lang w:val="en-US"/>
              </w:rPr>
              <w:t>Once the administrative provisions referred to in the first paragraph of this Transitional Article are issued, the entities of the parastatal public administration or private parties to which the aforementioned provisional permit has been granted have a maximum period of ninety business days to request the issuance of the corresponding permit, in accordance with the Regulation issued.</w:t>
            </w:r>
          </w:p>
        </w:tc>
      </w:tr>
      <w:tr w:rsidR="009849AC" w:rsidRPr="00067E05" w14:paraId="6EDC5A4A" w14:textId="373C0041" w:rsidTr="00F867DE">
        <w:tc>
          <w:tcPr>
            <w:tcW w:w="4711" w:type="dxa"/>
          </w:tcPr>
          <w:p w14:paraId="5B0F23C6" w14:textId="77777777" w:rsidR="009849AC" w:rsidRPr="00837D4A" w:rsidRDefault="009849AC" w:rsidP="009849AC">
            <w:pPr>
              <w:pStyle w:val="Texto"/>
              <w:spacing w:line="238" w:lineRule="exact"/>
              <w:ind w:firstLine="0"/>
              <w:rPr>
                <w:rFonts w:ascii="Verdana" w:hAnsi="Verdana"/>
                <w:sz w:val="16"/>
                <w:szCs w:val="16"/>
              </w:rPr>
            </w:pPr>
            <w:bookmarkStart w:id="13" w:name="N_Hlk205401504"/>
            <w:r w:rsidRPr="00837D4A">
              <w:rPr>
                <w:rFonts w:ascii="Verdana" w:hAnsi="Verdana"/>
                <w:b/>
                <w:sz w:val="16"/>
                <w:szCs w:val="16"/>
              </w:rPr>
              <w:t>Vigésimo Noveno.</w:t>
            </w:r>
            <w:r w:rsidRPr="00837D4A">
              <w:rPr>
                <w:rFonts w:ascii="Verdana" w:hAnsi="Verdana"/>
                <w:sz w:val="16"/>
                <w:szCs w:val="16"/>
              </w:rPr>
              <w:t xml:space="preserve"> Para el cumplimiento de lo establecido en los artículos 112 y Transitorio Vigésimo Tercero de la Ley, y en tanto no se modifique la Norma Oficial Mexicana “NOM-016-CRE-2016, Especificaciones de calidad de los petrolíferos”, a partir del 1 de enero de 2026, la Comisión debe determinar el cumplimiento de dicha norma para las personas Permisionarias de Expendio al Público de Petrolíferos relacionados con Gasolinas o Diésel, para lo cual puede auxiliarse de laboratorios de prueba acreditados y aprobados y debe establecer en el costo promedio que corresponda por actividad regulada, la tarifa correspondiente al muestreo, determinación de las especificaciones de calidad y emisión del informe de laboratorio que se realice a cada tanque de Guarda de Gasolinas o Diésel </w:t>
            </w:r>
            <w:r w:rsidRPr="00837D4A">
              <w:rPr>
                <w:rFonts w:ascii="Verdana" w:hAnsi="Verdana"/>
                <w:sz w:val="16"/>
                <w:szCs w:val="16"/>
              </w:rPr>
              <w:lastRenderedPageBreak/>
              <w:t>de acuerdo con lo establecido en el Anexo 4 de la norma en comento, de manera semestral.</w:t>
            </w:r>
          </w:p>
        </w:tc>
        <w:tc>
          <w:tcPr>
            <w:tcW w:w="4649" w:type="dxa"/>
          </w:tcPr>
          <w:p w14:paraId="13E27D61" w14:textId="61E66813" w:rsidR="009849AC" w:rsidRPr="00837D4A" w:rsidRDefault="009849AC" w:rsidP="009849AC">
            <w:pPr>
              <w:pStyle w:val="Texto"/>
              <w:spacing w:line="238" w:lineRule="exact"/>
              <w:ind w:firstLine="0"/>
              <w:rPr>
                <w:rFonts w:ascii="Verdana" w:hAnsi="Verdana"/>
                <w:b/>
                <w:sz w:val="16"/>
                <w:szCs w:val="16"/>
                <w:lang w:val="en-US"/>
              </w:rPr>
            </w:pPr>
            <w:r w:rsidRPr="00837D4A">
              <w:rPr>
                <w:rFonts w:ascii="Verdana" w:hAnsi="Verdana"/>
                <w:b/>
                <w:sz w:val="16"/>
                <w:szCs w:val="16"/>
                <w:lang w:val="en-US"/>
              </w:rPr>
              <w:lastRenderedPageBreak/>
              <w:t xml:space="preserve">Twenty-ninth. </w:t>
            </w:r>
            <w:r w:rsidRPr="00837D4A">
              <w:rPr>
                <w:rFonts w:ascii="Verdana" w:hAnsi="Verdana"/>
                <w:sz w:val="16"/>
                <w:szCs w:val="16"/>
                <w:lang w:val="en-US"/>
              </w:rPr>
              <w:t xml:space="preserve">In order to comply with the provisions of Articles 112 and the Twenty-third Transitional Article of the Law, and as long as the Official Mexican Standard "NOM-016-CRE-2016, Quality specifications for petroleum products" is not modified, starting on January 1, 2026, the Commission must determine compliance with said standard for persons holding permits for the public sale of petroleum products related to gasoline or diesel, for which it may use accredited and approved testing laboratories and must establish, at the average cost corresponding to the regulated activity, the fee for sampling, determination of quality specifications, and issuance of the laboratory report to be carried out on each gasoline or diesel storage tank in accordance with the provisions of Annex </w:t>
            </w:r>
            <w:r w:rsidRPr="00837D4A">
              <w:rPr>
                <w:rFonts w:ascii="Verdana" w:hAnsi="Verdana"/>
                <w:sz w:val="16"/>
                <w:szCs w:val="16"/>
                <w:lang w:val="en-US"/>
              </w:rPr>
              <w:lastRenderedPageBreak/>
              <w:t>4 of the aforementioned standard, on a semi-annual basis.</w:t>
            </w:r>
          </w:p>
        </w:tc>
      </w:tr>
      <w:tr w:rsidR="009849AC" w:rsidRPr="00067E05" w14:paraId="61F7AD78" w14:textId="72F0BBD1" w:rsidTr="00F867DE">
        <w:tc>
          <w:tcPr>
            <w:tcW w:w="4711" w:type="dxa"/>
          </w:tcPr>
          <w:p w14:paraId="1680B049"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sz w:val="16"/>
                <w:szCs w:val="16"/>
              </w:rPr>
              <w:lastRenderedPageBreak/>
              <w:t>Para la toma de muestras y determinación de las especificaciones de calidad de las actividades a las que se refieren los numerales 5.1, 5.1.2 y 5.1.3 excepto las personas Permisionarias de Transporte por Ductos, 5.1.4 excepto las personas Permisionarias de Almacenamiento, y 5.1.5 de la Norma Oficial Mexicana “NOM-016-CRE-2016, Especificaciones de calidad de los petrolíferos”, estas se deben sujetar al calendario y los avisos de entrada en vigor que para tales efectos emita la autoridad normalizadora.</w:t>
            </w:r>
          </w:p>
        </w:tc>
        <w:tc>
          <w:tcPr>
            <w:tcW w:w="4649" w:type="dxa"/>
          </w:tcPr>
          <w:p w14:paraId="18622901" w14:textId="660FBA9E" w:rsidR="009849AC" w:rsidRPr="00837D4A" w:rsidRDefault="009849AC" w:rsidP="009849AC">
            <w:pPr>
              <w:pStyle w:val="Texto"/>
              <w:spacing w:line="227" w:lineRule="exact"/>
              <w:ind w:firstLine="0"/>
              <w:rPr>
                <w:rFonts w:ascii="Verdana" w:hAnsi="Verdana"/>
                <w:sz w:val="16"/>
                <w:szCs w:val="16"/>
                <w:lang w:val="en-US"/>
              </w:rPr>
            </w:pPr>
            <w:r w:rsidRPr="00837D4A">
              <w:rPr>
                <w:rFonts w:ascii="Verdana" w:hAnsi="Verdana"/>
                <w:sz w:val="16"/>
                <w:szCs w:val="16"/>
                <w:lang w:val="en-US"/>
              </w:rPr>
              <w:t>For the taking of samples and determination of the quality specifications of the activities referred to in numerals 5.1, 5.1.2 and 5.1.3 except for the persons holding Permits for Pipeline Transportation, 5.1.4 except for the persons holding Permits for Storage, and 5.1.5 of the Official Mexican Standard “NOM-016-CRE-2016, Quality specifications for petroleum products”, these must be subject to the calendar and the notices of entry into force issued for such purposes by the standardizing authority.</w:t>
            </w:r>
          </w:p>
        </w:tc>
      </w:tr>
      <w:tr w:rsidR="009849AC" w:rsidRPr="00067E05" w14:paraId="6540A5EA" w14:textId="08CBCA62" w:rsidTr="00F867DE">
        <w:tc>
          <w:tcPr>
            <w:tcW w:w="4711" w:type="dxa"/>
          </w:tcPr>
          <w:p w14:paraId="75C6C356"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sz w:val="16"/>
                <w:szCs w:val="16"/>
              </w:rPr>
              <w:t>En caso de que alguna de las pruebas no resulte aprobatoria, se deben realizar todas las pruebas establecidas en las tablas 1 a la 7 de la norma citada, a fin de verificar que el Petrolífero en cuestión cumple con las especificaciones de calidad, para lo cual, la persona Permisionaria debe pagar el valor de la factura por el muestreo, determinación de las especificaciones de calidad y emisión del informe de resultados correspondiente solicitado por la Comisión.</w:t>
            </w:r>
          </w:p>
        </w:tc>
        <w:tc>
          <w:tcPr>
            <w:tcW w:w="4649" w:type="dxa"/>
          </w:tcPr>
          <w:p w14:paraId="0D1FBBDD" w14:textId="0BC2A453" w:rsidR="009849AC" w:rsidRPr="00837D4A" w:rsidRDefault="009849AC" w:rsidP="009849AC">
            <w:pPr>
              <w:pStyle w:val="Texto"/>
              <w:spacing w:line="227" w:lineRule="exact"/>
              <w:ind w:firstLine="0"/>
              <w:rPr>
                <w:rFonts w:ascii="Verdana" w:hAnsi="Verdana"/>
                <w:sz w:val="16"/>
                <w:szCs w:val="16"/>
                <w:lang w:val="en-US"/>
              </w:rPr>
            </w:pPr>
            <w:r w:rsidRPr="00837D4A">
              <w:rPr>
                <w:rFonts w:ascii="Verdana" w:hAnsi="Verdana"/>
                <w:sz w:val="16"/>
                <w:szCs w:val="16"/>
                <w:lang w:val="en-US"/>
              </w:rPr>
              <w:t>In the event that any of the tests are not approved, all the tests established in tables 1 to 7 of the cited standard must be carried out, in order to verify that the petroleum in question complies with the quality specifications, for which, the Permit Holder must pay the value of the invoice for sampling, determination of the quality specifications and issuance of the corresponding results report requested by the Commission.</w:t>
            </w:r>
          </w:p>
        </w:tc>
      </w:tr>
      <w:tr w:rsidR="009849AC" w:rsidRPr="00067E05" w14:paraId="6D00A435" w14:textId="1576D1D9" w:rsidTr="00F867DE">
        <w:tc>
          <w:tcPr>
            <w:tcW w:w="4711" w:type="dxa"/>
          </w:tcPr>
          <w:p w14:paraId="7C29DC98"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sz w:val="16"/>
                <w:szCs w:val="16"/>
              </w:rPr>
              <w:t>Para determinar la calidad de la Gasolina y Diésel, todos los laboratorios de prueba acreditados por una entidad de acreditación y aprobados por la autoridad normalizadora correspondiente, deben determinar e incluir adicionalmente a lo establecido en la tabla A.1 para Gasolinas o en la tabla A.2 para Diésel del Anexo 4, los siguientes parámetros, según corresponda:</w:t>
            </w:r>
          </w:p>
        </w:tc>
        <w:tc>
          <w:tcPr>
            <w:tcW w:w="4649" w:type="dxa"/>
          </w:tcPr>
          <w:p w14:paraId="0A5D2D07" w14:textId="6CACF028" w:rsidR="009849AC" w:rsidRPr="00837D4A" w:rsidRDefault="009849AC" w:rsidP="009849AC">
            <w:pPr>
              <w:pStyle w:val="Texto"/>
              <w:spacing w:line="227" w:lineRule="exact"/>
              <w:ind w:firstLine="0"/>
              <w:rPr>
                <w:rFonts w:ascii="Verdana" w:hAnsi="Verdana"/>
                <w:sz w:val="16"/>
                <w:szCs w:val="16"/>
                <w:lang w:val="en-US"/>
              </w:rPr>
            </w:pPr>
            <w:r w:rsidRPr="00837D4A">
              <w:rPr>
                <w:rFonts w:ascii="Verdana" w:hAnsi="Verdana"/>
                <w:sz w:val="16"/>
                <w:szCs w:val="16"/>
                <w:lang w:val="en-US"/>
              </w:rPr>
              <w:t>To determine the quality of gasoline and diesel, all testing laboratories accredited by an accreditation body and approved by the corresponding standardizing authority must determine and include, in addition to what is established in table A.1 for gasoline or in table A.2 for diesel of Annex 4, the following parameters, as appropriate:</w:t>
            </w:r>
          </w:p>
        </w:tc>
      </w:tr>
      <w:tr w:rsidR="009849AC" w:rsidRPr="00067E05" w14:paraId="779630F0" w14:textId="33952C0D" w:rsidTr="00F867DE">
        <w:tc>
          <w:tcPr>
            <w:tcW w:w="4711" w:type="dxa"/>
          </w:tcPr>
          <w:p w14:paraId="4CA88229" w14:textId="77777777" w:rsidR="009849AC" w:rsidRPr="00837D4A" w:rsidRDefault="009849AC" w:rsidP="009849AC">
            <w:pPr>
              <w:pStyle w:val="Texto"/>
              <w:spacing w:line="227" w:lineRule="exact"/>
              <w:ind w:firstLine="0"/>
              <w:rPr>
                <w:rFonts w:ascii="Verdana" w:hAnsi="Verdana"/>
                <w:b/>
                <w:sz w:val="16"/>
                <w:szCs w:val="16"/>
              </w:rPr>
            </w:pPr>
            <w:r w:rsidRPr="00837D4A">
              <w:rPr>
                <w:rFonts w:ascii="Verdana" w:hAnsi="Verdana"/>
                <w:b/>
                <w:sz w:val="16"/>
                <w:szCs w:val="16"/>
              </w:rPr>
              <w:t>I.</w:t>
            </w:r>
            <w:r w:rsidRPr="00837D4A">
              <w:rPr>
                <w:rFonts w:ascii="Verdana" w:hAnsi="Verdana"/>
                <w:b/>
                <w:sz w:val="16"/>
                <w:szCs w:val="16"/>
              </w:rPr>
              <w:tab/>
            </w:r>
            <w:r w:rsidRPr="00837D4A">
              <w:rPr>
                <w:rFonts w:ascii="Verdana" w:hAnsi="Verdana"/>
                <w:sz w:val="16"/>
                <w:szCs w:val="16"/>
              </w:rPr>
              <w:t>Contenido de oxígeno expresado en % masa para el caso de Gasolinas, o</w:t>
            </w:r>
          </w:p>
        </w:tc>
        <w:tc>
          <w:tcPr>
            <w:tcW w:w="4649" w:type="dxa"/>
          </w:tcPr>
          <w:p w14:paraId="7CC7C5A3" w14:textId="10CF307F" w:rsidR="009849AC" w:rsidRPr="00837D4A" w:rsidRDefault="009849AC" w:rsidP="009849AC">
            <w:pPr>
              <w:pStyle w:val="Texto"/>
              <w:spacing w:line="227" w:lineRule="exact"/>
              <w:ind w:firstLine="0"/>
              <w:rPr>
                <w:rFonts w:ascii="Verdana" w:hAnsi="Verdana"/>
                <w:b/>
                <w:sz w:val="16"/>
                <w:szCs w:val="16"/>
                <w:lang w:val="en-US"/>
              </w:rPr>
            </w:pPr>
            <w:r w:rsidRPr="00837D4A">
              <w:rPr>
                <w:rFonts w:ascii="Verdana" w:hAnsi="Verdana"/>
                <w:b/>
                <w:sz w:val="16"/>
                <w:szCs w:val="16"/>
                <w:lang w:val="en-US"/>
              </w:rPr>
              <w:t xml:space="preserve">I. </w:t>
            </w:r>
            <w:r w:rsidRPr="00837D4A">
              <w:rPr>
                <w:rFonts w:ascii="Verdana" w:hAnsi="Verdana"/>
                <w:b/>
                <w:sz w:val="16"/>
                <w:szCs w:val="16"/>
                <w:lang w:val="en-US"/>
              </w:rPr>
              <w:tab/>
            </w:r>
            <w:r w:rsidRPr="00837D4A">
              <w:rPr>
                <w:rFonts w:ascii="Verdana" w:hAnsi="Verdana"/>
                <w:sz w:val="16"/>
                <w:szCs w:val="16"/>
                <w:lang w:val="en-US"/>
              </w:rPr>
              <w:t>Oxygen content expressed in % mass for Gasolines, or</w:t>
            </w:r>
          </w:p>
        </w:tc>
      </w:tr>
      <w:tr w:rsidR="009849AC" w:rsidRPr="00067E05" w14:paraId="5652E001" w14:textId="16F5F308" w:rsidTr="00F867DE">
        <w:tc>
          <w:tcPr>
            <w:tcW w:w="4711" w:type="dxa"/>
          </w:tcPr>
          <w:p w14:paraId="57E0636B" w14:textId="77777777" w:rsidR="009849AC" w:rsidRPr="00837D4A" w:rsidRDefault="009849AC" w:rsidP="009849AC">
            <w:pPr>
              <w:pStyle w:val="Texto"/>
              <w:spacing w:line="227" w:lineRule="exact"/>
              <w:ind w:firstLine="0"/>
              <w:rPr>
                <w:rFonts w:ascii="Verdana" w:hAnsi="Verdana"/>
                <w:b/>
                <w:sz w:val="16"/>
                <w:szCs w:val="16"/>
              </w:rPr>
            </w:pPr>
            <w:r w:rsidRPr="00837D4A">
              <w:rPr>
                <w:rFonts w:ascii="Verdana" w:hAnsi="Verdana"/>
                <w:b/>
                <w:sz w:val="16"/>
                <w:szCs w:val="16"/>
              </w:rPr>
              <w:t>II.</w:t>
            </w:r>
            <w:r w:rsidRPr="00837D4A">
              <w:rPr>
                <w:rFonts w:ascii="Verdana" w:hAnsi="Verdana"/>
                <w:b/>
                <w:sz w:val="16"/>
                <w:szCs w:val="16"/>
              </w:rPr>
              <w:tab/>
            </w:r>
            <w:r w:rsidRPr="00837D4A">
              <w:rPr>
                <w:rFonts w:ascii="Verdana" w:hAnsi="Verdana"/>
                <w:sz w:val="16"/>
                <w:szCs w:val="16"/>
              </w:rPr>
              <w:t>Contenido de agua y sedimentos expresado en % volumen para el caso de Diésel.</w:t>
            </w:r>
          </w:p>
        </w:tc>
        <w:tc>
          <w:tcPr>
            <w:tcW w:w="4649" w:type="dxa"/>
          </w:tcPr>
          <w:p w14:paraId="74793446" w14:textId="53AA74D2" w:rsidR="009849AC" w:rsidRPr="00837D4A" w:rsidRDefault="009849AC" w:rsidP="009849AC">
            <w:pPr>
              <w:pStyle w:val="Texto"/>
              <w:spacing w:line="227" w:lineRule="exact"/>
              <w:ind w:firstLine="0"/>
              <w:rPr>
                <w:rFonts w:ascii="Verdana" w:hAnsi="Verdana"/>
                <w:b/>
                <w:sz w:val="16"/>
                <w:szCs w:val="16"/>
                <w:lang w:val="en-US"/>
              </w:rPr>
            </w:pPr>
            <w:r w:rsidRPr="00837D4A">
              <w:rPr>
                <w:rFonts w:ascii="Verdana" w:hAnsi="Verdana"/>
                <w:b/>
                <w:sz w:val="16"/>
                <w:szCs w:val="16"/>
                <w:lang w:val="en-US"/>
              </w:rPr>
              <w:t xml:space="preserve">II. </w:t>
            </w:r>
            <w:r w:rsidRPr="00837D4A">
              <w:rPr>
                <w:rFonts w:ascii="Verdana" w:hAnsi="Verdana"/>
                <w:b/>
                <w:sz w:val="16"/>
                <w:szCs w:val="16"/>
                <w:lang w:val="en-US"/>
              </w:rPr>
              <w:tab/>
            </w:r>
            <w:r w:rsidRPr="00837D4A">
              <w:rPr>
                <w:rFonts w:ascii="Verdana" w:hAnsi="Verdana"/>
                <w:sz w:val="16"/>
                <w:szCs w:val="16"/>
                <w:lang w:val="en-US"/>
              </w:rPr>
              <w:t>Water and sediment content expressed in % volume for the case of diesel.</w:t>
            </w:r>
          </w:p>
        </w:tc>
      </w:tr>
      <w:tr w:rsidR="009849AC" w:rsidRPr="00067E05" w14:paraId="73819996" w14:textId="68D74E60" w:rsidTr="00F867DE">
        <w:tc>
          <w:tcPr>
            <w:tcW w:w="4711" w:type="dxa"/>
          </w:tcPr>
          <w:p w14:paraId="446861ED"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sz w:val="16"/>
                <w:szCs w:val="16"/>
              </w:rPr>
              <w:t>La evaluación de la conformidad debe ser a solicitud de la Comisión, quien puede auxiliarse de los organismos de evaluación de la conformidad acreditados por una entidad de acreditación y aprobados por la autoridad normalizadora correspondiente, conforme a la Ley de Infraestructura de la Calidad.</w:t>
            </w:r>
            <w:bookmarkEnd w:id="13"/>
          </w:p>
        </w:tc>
        <w:tc>
          <w:tcPr>
            <w:tcW w:w="4649" w:type="dxa"/>
          </w:tcPr>
          <w:p w14:paraId="26E696E9" w14:textId="1BB8754A" w:rsidR="009849AC" w:rsidRPr="00837D4A" w:rsidRDefault="009849AC" w:rsidP="009849AC">
            <w:pPr>
              <w:pStyle w:val="Texto"/>
              <w:spacing w:line="227" w:lineRule="exact"/>
              <w:ind w:firstLine="0"/>
              <w:rPr>
                <w:rFonts w:ascii="Verdana" w:hAnsi="Verdana"/>
                <w:sz w:val="16"/>
                <w:szCs w:val="16"/>
                <w:lang w:val="en-US"/>
              </w:rPr>
            </w:pPr>
            <w:r w:rsidRPr="00837D4A">
              <w:rPr>
                <w:rFonts w:ascii="Verdana" w:hAnsi="Verdana"/>
                <w:sz w:val="16"/>
                <w:szCs w:val="16"/>
                <w:lang w:val="en-US"/>
              </w:rPr>
              <w:t>The evaluation of conformity must be carried out at the request of the Commission, which may be assisted by conformity assessment bodies accredited by an accreditation body and approved by the relevant standards setting authority, in accordance with the Law of Quality Infrastructure.</w:t>
            </w:r>
          </w:p>
        </w:tc>
      </w:tr>
      <w:tr w:rsidR="009849AC" w:rsidRPr="00067E05" w14:paraId="3E16F148" w14:textId="773840E8" w:rsidTr="00F867DE">
        <w:tc>
          <w:tcPr>
            <w:tcW w:w="4711" w:type="dxa"/>
          </w:tcPr>
          <w:p w14:paraId="4DEDFD30"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b/>
                <w:sz w:val="16"/>
                <w:szCs w:val="16"/>
              </w:rPr>
              <w:t xml:space="preserve">Trigésimo. </w:t>
            </w:r>
            <w:r w:rsidRPr="00837D4A">
              <w:rPr>
                <w:rFonts w:ascii="Verdana" w:hAnsi="Verdana"/>
                <w:sz w:val="16"/>
                <w:szCs w:val="16"/>
              </w:rPr>
              <w:t>En los casos en que las Asignaciones para Desarrollo Propio que cuenten con derechos de Exploración vigentes y que tengan como obligación un compromiso mínimo de trabajo previsto en los Anexos 2 de los títulos, la persona Asignataria puede solicitar a la Secretaría apegarse a lo previsto en el artículo 28, párrafo segundo, del presente reglamento, respecto de aquellos títulos que hayan sido otorgados previo a la entrada en vigor de este reglamento.</w:t>
            </w:r>
          </w:p>
        </w:tc>
        <w:tc>
          <w:tcPr>
            <w:tcW w:w="4649" w:type="dxa"/>
          </w:tcPr>
          <w:p w14:paraId="441F036F" w14:textId="1E9AC0EF" w:rsidR="009849AC" w:rsidRPr="00837D4A" w:rsidRDefault="009849AC" w:rsidP="009849AC">
            <w:pPr>
              <w:pStyle w:val="Texto"/>
              <w:spacing w:line="227" w:lineRule="exact"/>
              <w:ind w:firstLine="0"/>
              <w:rPr>
                <w:rFonts w:ascii="Verdana" w:hAnsi="Verdana"/>
                <w:b/>
                <w:sz w:val="16"/>
                <w:szCs w:val="16"/>
                <w:lang w:val="en-US"/>
              </w:rPr>
            </w:pPr>
            <w:r w:rsidRPr="00837D4A">
              <w:rPr>
                <w:rFonts w:ascii="Verdana" w:hAnsi="Verdana"/>
                <w:b/>
                <w:sz w:val="16"/>
                <w:szCs w:val="16"/>
                <w:lang w:val="en-US"/>
              </w:rPr>
              <w:t xml:space="preserve">Thirtieth. </w:t>
            </w:r>
            <w:r w:rsidRPr="00837D4A">
              <w:rPr>
                <w:rFonts w:ascii="Verdana" w:hAnsi="Verdana"/>
                <w:sz w:val="16"/>
                <w:szCs w:val="16"/>
                <w:lang w:val="en-US"/>
              </w:rPr>
              <w:t xml:space="preserve">In cases where the Assignments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have current Exploration rights and require a minimum work commitment as provided for in Annex 2 of the titles, the Assignee may request the Secretary to comply with the provisions of Article 28, second paragraph, of this Regulation, with respect to those titles that were granted prior to the entry into force of this Regulation.</w:t>
            </w:r>
          </w:p>
        </w:tc>
      </w:tr>
      <w:tr w:rsidR="009849AC" w:rsidRPr="00067E05" w14:paraId="712B37FE" w14:textId="74D39C9A" w:rsidTr="00F867DE">
        <w:tc>
          <w:tcPr>
            <w:tcW w:w="4711" w:type="dxa"/>
          </w:tcPr>
          <w:p w14:paraId="11331EA4"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sz w:val="16"/>
                <w:szCs w:val="16"/>
              </w:rPr>
              <w:t xml:space="preserve">La persona Asignataria tiene un plazo máximo de doce meses a partir de la entrada en vigor del presente reglamento para presentar la modificación a los Planes de Exploración y los programas asociados de dichas Asignaciones para Desarrollo Propio con derechos de Exploración, en términos del artículo 28 de este </w:t>
            </w:r>
            <w:r w:rsidRPr="00837D4A">
              <w:rPr>
                <w:rFonts w:ascii="Verdana" w:hAnsi="Verdana"/>
                <w:sz w:val="16"/>
                <w:szCs w:val="16"/>
              </w:rPr>
              <w:lastRenderedPageBreak/>
              <w:t>reglamento, a efecto de que se realicen las modificaciones respectivas en los títulos de Asignación correspondientes. La persona Asignataria puede continuar con la ejecución de las actividades exploratorias, al amparo de los Planes de Exploración previamente aprobados, hasta en tanto se realicen las modificaciones.</w:t>
            </w:r>
          </w:p>
        </w:tc>
        <w:tc>
          <w:tcPr>
            <w:tcW w:w="4649" w:type="dxa"/>
          </w:tcPr>
          <w:p w14:paraId="752BB3A2" w14:textId="361B34F3" w:rsidR="009849AC" w:rsidRPr="00837D4A" w:rsidRDefault="009849AC" w:rsidP="009849AC">
            <w:pPr>
              <w:pStyle w:val="Texto"/>
              <w:spacing w:line="227" w:lineRule="exact"/>
              <w:ind w:firstLine="0"/>
              <w:rPr>
                <w:rFonts w:ascii="Verdana" w:hAnsi="Verdana"/>
                <w:sz w:val="16"/>
                <w:szCs w:val="16"/>
                <w:lang w:val="en-US"/>
              </w:rPr>
            </w:pPr>
            <w:r w:rsidRPr="00837D4A">
              <w:rPr>
                <w:rFonts w:ascii="Verdana" w:hAnsi="Verdana"/>
                <w:sz w:val="16"/>
                <w:szCs w:val="16"/>
                <w:lang w:val="en-US"/>
              </w:rPr>
              <w:lastRenderedPageBreak/>
              <w:t xml:space="preserve">The Assignee has a maximum period of twelve months from the entry into force of this regulation to submit the modification to the Exploration Plans and associated programs of said Assignments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with Exploration Rights, in accordance with Article 28 of this regulation, so that the respective modifications can </w:t>
            </w:r>
            <w:r w:rsidRPr="00837D4A">
              <w:rPr>
                <w:rFonts w:ascii="Verdana" w:hAnsi="Verdana"/>
                <w:sz w:val="16"/>
                <w:szCs w:val="16"/>
                <w:lang w:val="en-US"/>
              </w:rPr>
              <w:lastRenderedPageBreak/>
              <w:t>be made to the corresponding Assignment titles. The Assignee may continue to carry out exploration activities, under the previously approved Exploration Plans, until the modifications are made.</w:t>
            </w:r>
          </w:p>
        </w:tc>
      </w:tr>
      <w:tr w:rsidR="009849AC" w:rsidRPr="00067E05" w14:paraId="5898A6E7" w14:textId="28973913" w:rsidTr="00F867DE">
        <w:tc>
          <w:tcPr>
            <w:tcW w:w="4711" w:type="dxa"/>
          </w:tcPr>
          <w:p w14:paraId="220FF0E1"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sz w:val="16"/>
                <w:szCs w:val="16"/>
              </w:rPr>
              <w:lastRenderedPageBreak/>
              <w:t>En el caso de Asignaciones para Desarrollo Propio con derechos de Exploración vigentes en las que la persona Asignataria tenga programado realizar actividades exploratorias para el presente ejercicio fiscal, junto con la solicitud de modificación del Plan de Exploración y, en su caso, programas asociados debe presentar el Programa Anual de Actividades y Costos correspondiente a este ejercicio.</w:t>
            </w:r>
          </w:p>
        </w:tc>
        <w:tc>
          <w:tcPr>
            <w:tcW w:w="4649" w:type="dxa"/>
          </w:tcPr>
          <w:p w14:paraId="4C75650B" w14:textId="18338DF5" w:rsidR="009849AC" w:rsidRPr="00837D4A" w:rsidRDefault="009849AC" w:rsidP="009849AC">
            <w:pPr>
              <w:pStyle w:val="Texto"/>
              <w:spacing w:line="227" w:lineRule="exact"/>
              <w:ind w:firstLine="0"/>
              <w:rPr>
                <w:rFonts w:ascii="Verdana" w:hAnsi="Verdana"/>
                <w:sz w:val="16"/>
                <w:szCs w:val="16"/>
                <w:lang w:val="en-US"/>
              </w:rPr>
            </w:pPr>
            <w:r w:rsidRPr="00837D4A">
              <w:rPr>
                <w:rFonts w:ascii="Verdana" w:hAnsi="Verdana"/>
                <w:sz w:val="16"/>
                <w:szCs w:val="16"/>
                <w:lang w:val="en-US"/>
              </w:rPr>
              <w:t xml:space="preserve">In the case of Assignments for </w:t>
            </w:r>
            <w:proofErr w:type="spellStart"/>
            <w:r w:rsidRPr="00837D4A">
              <w:rPr>
                <w:rFonts w:ascii="Verdana" w:hAnsi="Verdana"/>
                <w:sz w:val="16"/>
                <w:szCs w:val="16"/>
                <w:lang w:val="en-US"/>
              </w:rPr>
              <w:t>Self Development</w:t>
            </w:r>
            <w:proofErr w:type="spellEnd"/>
            <w:r w:rsidRPr="00837D4A">
              <w:rPr>
                <w:rFonts w:ascii="Verdana" w:hAnsi="Verdana"/>
                <w:sz w:val="16"/>
                <w:szCs w:val="16"/>
                <w:lang w:val="en-US"/>
              </w:rPr>
              <w:t xml:space="preserve"> with current exploration rights in which the assignee has planned to carry out exploratory activities for the current fiscal year, together with the request for modification of the Exploration Plan and, where applicable, associated programs, the Annual Program of Activities and costs corresponding to this fiscal year must be submitted.</w:t>
            </w:r>
          </w:p>
        </w:tc>
      </w:tr>
      <w:tr w:rsidR="009849AC" w:rsidRPr="00067E05" w14:paraId="242F8D01" w14:textId="4EB23A5A" w:rsidTr="00F867DE">
        <w:tc>
          <w:tcPr>
            <w:tcW w:w="4711" w:type="dxa"/>
          </w:tcPr>
          <w:p w14:paraId="7347CA7A"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sz w:val="16"/>
                <w:szCs w:val="16"/>
              </w:rPr>
              <w:t>Dicho programa debe elaborarse conforme a los formatos que, para tales efectos establezca la Secretaría, y su aprobación debe llevarse a cabo de manera conjunta, a fin de facilitar su evaluación integral, sin que resulte necesaria su autorización individual.</w:t>
            </w:r>
          </w:p>
        </w:tc>
        <w:tc>
          <w:tcPr>
            <w:tcW w:w="4649" w:type="dxa"/>
          </w:tcPr>
          <w:p w14:paraId="267562FE" w14:textId="0E25E68F" w:rsidR="009849AC" w:rsidRPr="00837D4A" w:rsidRDefault="009849AC" w:rsidP="009849AC">
            <w:pPr>
              <w:pStyle w:val="Texto"/>
              <w:spacing w:line="227" w:lineRule="exact"/>
              <w:ind w:firstLine="0"/>
              <w:rPr>
                <w:rFonts w:ascii="Verdana" w:hAnsi="Verdana"/>
                <w:sz w:val="16"/>
                <w:szCs w:val="16"/>
                <w:lang w:val="en-US"/>
              </w:rPr>
            </w:pPr>
            <w:r w:rsidRPr="00837D4A">
              <w:rPr>
                <w:rFonts w:ascii="Verdana" w:hAnsi="Verdana"/>
                <w:sz w:val="16"/>
                <w:szCs w:val="16"/>
                <w:lang w:val="en-US"/>
              </w:rPr>
              <w:t>This program must be developed in accordance with the formats established by the Secretary for such purposes, and its approval must be carried out jointly, in order to facilitate its comprehensive evaluation, without the need for individual authorization.</w:t>
            </w:r>
          </w:p>
        </w:tc>
      </w:tr>
      <w:tr w:rsidR="009849AC" w:rsidRPr="00067E05" w14:paraId="0FC4450A" w14:textId="00636B04" w:rsidTr="00F867DE">
        <w:tc>
          <w:tcPr>
            <w:tcW w:w="4711" w:type="dxa"/>
          </w:tcPr>
          <w:p w14:paraId="4F411B61" w14:textId="77777777" w:rsidR="009849AC" w:rsidRPr="00837D4A" w:rsidRDefault="009849AC" w:rsidP="009849AC">
            <w:pPr>
              <w:pStyle w:val="Texto"/>
              <w:spacing w:line="227" w:lineRule="exact"/>
              <w:ind w:firstLine="0"/>
              <w:rPr>
                <w:rFonts w:ascii="Verdana" w:hAnsi="Verdana"/>
                <w:b/>
                <w:sz w:val="16"/>
                <w:szCs w:val="16"/>
              </w:rPr>
            </w:pPr>
            <w:r w:rsidRPr="00837D4A">
              <w:rPr>
                <w:rFonts w:ascii="Verdana" w:hAnsi="Verdana"/>
                <w:sz w:val="16"/>
                <w:szCs w:val="16"/>
              </w:rPr>
              <w:t>La verificación de la obligación de cumplimiento en el porcentaje de contenido nacional debe ser a la conclusión del periodo de Exploración.</w:t>
            </w:r>
          </w:p>
        </w:tc>
        <w:tc>
          <w:tcPr>
            <w:tcW w:w="4649" w:type="dxa"/>
          </w:tcPr>
          <w:p w14:paraId="010D2989" w14:textId="50256FA1" w:rsidR="009849AC" w:rsidRPr="00837D4A" w:rsidRDefault="009849AC" w:rsidP="009849AC">
            <w:pPr>
              <w:pStyle w:val="Texto"/>
              <w:spacing w:line="227" w:lineRule="exact"/>
              <w:ind w:firstLine="0"/>
              <w:rPr>
                <w:rFonts w:ascii="Verdana" w:hAnsi="Verdana"/>
                <w:sz w:val="16"/>
                <w:szCs w:val="16"/>
                <w:lang w:val="en-US"/>
              </w:rPr>
            </w:pPr>
            <w:r w:rsidRPr="00837D4A">
              <w:rPr>
                <w:rFonts w:ascii="Verdana" w:hAnsi="Verdana"/>
                <w:sz w:val="16"/>
                <w:szCs w:val="16"/>
                <w:lang w:val="en-US"/>
              </w:rPr>
              <w:t>Verification of the obligation to comply with the percentage of national content must be at the conclusion of the Exploration period.</w:t>
            </w:r>
          </w:p>
        </w:tc>
      </w:tr>
      <w:tr w:rsidR="009849AC" w:rsidRPr="00067E05" w14:paraId="4C5B48EA" w14:textId="70FF1F45" w:rsidTr="00F867DE">
        <w:tc>
          <w:tcPr>
            <w:tcW w:w="4711" w:type="dxa"/>
          </w:tcPr>
          <w:p w14:paraId="77993A37"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b/>
                <w:sz w:val="16"/>
                <w:szCs w:val="16"/>
              </w:rPr>
              <w:t>Trigésimo Primero.</w:t>
            </w:r>
            <w:r w:rsidRPr="00837D4A">
              <w:rPr>
                <w:rFonts w:ascii="Verdana" w:hAnsi="Verdana"/>
                <w:sz w:val="16"/>
                <w:szCs w:val="16"/>
              </w:rPr>
              <w:t xml:space="preserve"> Hasta en tanto se determinan los formatos autorizados por la Secretaría o la Comisión para la presentación de solicitudes a las que hace referencia el presente reglamento y estos se publiquen en los portales electrónicos de la Secretaría y la Comisión, así como en los portales públicos de información de trámites, los formatos previos, los escritos libres y las versiones electrónicas autorizadas se consideran válidos para presentar las solicitudes que correspondan.</w:t>
            </w:r>
          </w:p>
        </w:tc>
        <w:tc>
          <w:tcPr>
            <w:tcW w:w="4649" w:type="dxa"/>
          </w:tcPr>
          <w:p w14:paraId="065F929E" w14:textId="6A9384AB" w:rsidR="009849AC" w:rsidRPr="00837D4A" w:rsidRDefault="009849AC" w:rsidP="009849AC">
            <w:pPr>
              <w:pStyle w:val="Texto"/>
              <w:spacing w:line="227" w:lineRule="exact"/>
              <w:ind w:firstLine="0"/>
              <w:rPr>
                <w:rFonts w:ascii="Verdana" w:hAnsi="Verdana"/>
                <w:b/>
                <w:sz w:val="16"/>
                <w:szCs w:val="16"/>
                <w:lang w:val="en-US"/>
              </w:rPr>
            </w:pPr>
            <w:r w:rsidRPr="00837D4A">
              <w:rPr>
                <w:rFonts w:ascii="Verdana" w:hAnsi="Verdana"/>
                <w:b/>
                <w:sz w:val="16"/>
                <w:szCs w:val="16"/>
                <w:lang w:val="en-US"/>
              </w:rPr>
              <w:t xml:space="preserve">Thirty-first. </w:t>
            </w:r>
            <w:r w:rsidRPr="00837D4A">
              <w:rPr>
                <w:rFonts w:ascii="Verdana" w:hAnsi="Verdana"/>
                <w:sz w:val="16"/>
                <w:szCs w:val="16"/>
                <w:lang w:val="en-US"/>
              </w:rPr>
              <w:t>Until the formats authorized by the Secretary or the Commission for submitting applications referred to in this Regulation are determined and published on the electronic portals of the Secretary and the Commission, as well as on public portals providing information on procedures, the previous formats, free written documents, and authorized electronic versions are considered valid for submitting the corresponding applications.</w:t>
            </w:r>
          </w:p>
        </w:tc>
      </w:tr>
      <w:tr w:rsidR="009849AC" w:rsidRPr="00067E05" w14:paraId="2921D520" w14:textId="1B886987" w:rsidTr="00F867DE">
        <w:tc>
          <w:tcPr>
            <w:tcW w:w="4711" w:type="dxa"/>
          </w:tcPr>
          <w:p w14:paraId="65091970" w14:textId="77777777" w:rsidR="009849AC" w:rsidRPr="00837D4A" w:rsidRDefault="009849AC" w:rsidP="009849AC">
            <w:pPr>
              <w:pStyle w:val="Texto"/>
              <w:spacing w:line="227" w:lineRule="exact"/>
              <w:ind w:firstLine="0"/>
              <w:rPr>
                <w:rFonts w:ascii="Verdana" w:hAnsi="Verdana"/>
                <w:sz w:val="16"/>
                <w:szCs w:val="16"/>
              </w:rPr>
            </w:pPr>
            <w:r w:rsidRPr="00837D4A">
              <w:rPr>
                <w:rFonts w:ascii="Verdana" w:hAnsi="Verdana"/>
                <w:b/>
                <w:sz w:val="16"/>
                <w:szCs w:val="16"/>
              </w:rPr>
              <w:t xml:space="preserve">Trigésimo Segundo. </w:t>
            </w:r>
            <w:r w:rsidRPr="00837D4A">
              <w:rPr>
                <w:rFonts w:ascii="Verdana" w:hAnsi="Verdana"/>
                <w:sz w:val="16"/>
                <w:szCs w:val="16"/>
              </w:rPr>
              <w:t>Las erogaciones que se generen con motivo de la aplicación del presente decreto se deben realizar con cargo a los presupuestos autorizados a los ejecutores del gasto que intervienen en la implementación del mismo, por lo que no se autorizan ampliaciones líquidas a sus presupuestos para tal fin en el presente ejercicio fiscal, ni se puede incrementar el presupuesto regularizable de dichos ejecutores de gasto para tales efectos.</w:t>
            </w:r>
          </w:p>
        </w:tc>
        <w:tc>
          <w:tcPr>
            <w:tcW w:w="4649" w:type="dxa"/>
          </w:tcPr>
          <w:p w14:paraId="5B452760" w14:textId="572EF359" w:rsidR="009849AC" w:rsidRPr="00837D4A" w:rsidRDefault="009849AC" w:rsidP="009849AC">
            <w:pPr>
              <w:pStyle w:val="Texto"/>
              <w:spacing w:line="227" w:lineRule="exact"/>
              <w:ind w:firstLine="0"/>
              <w:rPr>
                <w:rFonts w:ascii="Verdana" w:hAnsi="Verdana"/>
                <w:b/>
                <w:sz w:val="16"/>
                <w:szCs w:val="16"/>
                <w:lang w:val="en-US"/>
              </w:rPr>
            </w:pPr>
            <w:r w:rsidRPr="00837D4A">
              <w:rPr>
                <w:rFonts w:ascii="Verdana" w:hAnsi="Verdana"/>
                <w:b/>
                <w:sz w:val="16"/>
                <w:szCs w:val="16"/>
                <w:lang w:val="en-US"/>
              </w:rPr>
              <w:t xml:space="preserve">Thirty-Second. </w:t>
            </w:r>
            <w:r w:rsidRPr="00837D4A">
              <w:rPr>
                <w:rFonts w:ascii="Verdana" w:hAnsi="Verdana"/>
                <w:sz w:val="16"/>
                <w:szCs w:val="16"/>
                <w:lang w:val="en-US"/>
              </w:rPr>
              <w:t>The expenditures generated by the application of this decree must be charged to the budgets authorized for the expenditure executors involved in its implementation. Therefore, no net increases to their budgets are authorized for this purpose in the current fiscal year, nor may the regularizable budget of said expenditure executors be increased for such purposes.</w:t>
            </w:r>
          </w:p>
        </w:tc>
      </w:tr>
      <w:tr w:rsidR="009849AC" w:rsidRPr="00D0180E" w14:paraId="3D2AB3AF" w14:textId="070464B8" w:rsidTr="00F867DE">
        <w:tc>
          <w:tcPr>
            <w:tcW w:w="4711" w:type="dxa"/>
          </w:tcPr>
          <w:p w14:paraId="11F9F4A2" w14:textId="77777777" w:rsidR="009849AC" w:rsidRPr="00837D4A" w:rsidRDefault="009849AC" w:rsidP="009849AC">
            <w:pPr>
              <w:pStyle w:val="Texto"/>
              <w:spacing w:line="227" w:lineRule="exact"/>
              <w:ind w:firstLine="0"/>
              <w:rPr>
                <w:rFonts w:ascii="Verdana" w:hAnsi="Verdana"/>
                <w:sz w:val="16"/>
                <w:szCs w:val="16"/>
                <w:lang w:val="es-ES_tradnl"/>
              </w:rPr>
            </w:pPr>
            <w:r w:rsidRPr="00837D4A">
              <w:rPr>
                <w:rFonts w:ascii="Verdana" w:hAnsi="Verdana"/>
                <w:sz w:val="16"/>
                <w:szCs w:val="16"/>
                <w:lang w:val="es-ES_tradnl"/>
              </w:rPr>
              <w:t xml:space="preserve">Dado en la residencia del Poder Ejecutivo Federal, en Ciudad de México a 29 de septiembre de 2025.- Presidenta de los Estados Unidos Mexicanos, </w:t>
            </w:r>
            <w:r w:rsidRPr="00837D4A">
              <w:rPr>
                <w:rFonts w:ascii="Verdana" w:hAnsi="Verdana"/>
                <w:b/>
                <w:sz w:val="16"/>
                <w:szCs w:val="16"/>
                <w:lang w:val="es-ES_tradnl"/>
              </w:rPr>
              <w:t>Claudia Sheinbaum Pardo</w:t>
            </w:r>
            <w:r w:rsidRPr="00837D4A">
              <w:rPr>
                <w:rFonts w:ascii="Verdana" w:hAnsi="Verdana"/>
                <w:sz w:val="16"/>
                <w:szCs w:val="16"/>
                <w:lang w:val="es-ES_tradnl"/>
              </w:rPr>
              <w:t xml:space="preserve">.- Rúbrica.- Secretario de Hacienda y Crédito Público, </w:t>
            </w:r>
            <w:r w:rsidRPr="00837D4A">
              <w:rPr>
                <w:rFonts w:ascii="Verdana" w:hAnsi="Verdana"/>
                <w:b/>
                <w:sz w:val="16"/>
                <w:szCs w:val="16"/>
                <w:lang w:val="es-ES_tradnl"/>
              </w:rPr>
              <w:t>Édgar Abraham Amador Zamora</w:t>
            </w:r>
            <w:r w:rsidRPr="00837D4A">
              <w:rPr>
                <w:rFonts w:ascii="Verdana" w:hAnsi="Verdana"/>
                <w:sz w:val="16"/>
                <w:szCs w:val="16"/>
                <w:lang w:val="es-ES_tradnl"/>
              </w:rPr>
              <w:t xml:space="preserve">.- Rúbrica.- </w:t>
            </w:r>
            <w:r w:rsidRPr="00837D4A">
              <w:rPr>
                <w:rFonts w:ascii="Verdana" w:hAnsi="Verdana"/>
                <w:sz w:val="16"/>
                <w:szCs w:val="16"/>
              </w:rPr>
              <w:t xml:space="preserve">Secretaria de Energía, </w:t>
            </w:r>
            <w:r w:rsidRPr="00837D4A">
              <w:rPr>
                <w:rFonts w:ascii="Verdana" w:hAnsi="Verdana"/>
                <w:b/>
                <w:sz w:val="16"/>
                <w:szCs w:val="16"/>
              </w:rPr>
              <w:t>Luz Elena González Escobar</w:t>
            </w:r>
            <w:r w:rsidRPr="00837D4A">
              <w:rPr>
                <w:rFonts w:ascii="Verdana" w:hAnsi="Verdana"/>
                <w:sz w:val="16"/>
                <w:szCs w:val="16"/>
              </w:rPr>
              <w:t xml:space="preserve">.- Rúbrica.- </w:t>
            </w:r>
            <w:r w:rsidRPr="00837D4A">
              <w:rPr>
                <w:rFonts w:ascii="Verdana" w:hAnsi="Verdana"/>
                <w:sz w:val="16"/>
                <w:szCs w:val="16"/>
                <w:lang w:val="es-ES_tradnl"/>
              </w:rPr>
              <w:t xml:space="preserve">Secretario de Economía, </w:t>
            </w:r>
            <w:r w:rsidRPr="00837D4A">
              <w:rPr>
                <w:rFonts w:ascii="Verdana" w:hAnsi="Verdana"/>
                <w:b/>
                <w:sz w:val="16"/>
                <w:szCs w:val="16"/>
                <w:lang w:val="es-ES_tradnl"/>
              </w:rPr>
              <w:t xml:space="preserve">Marcelo Luis Ebrard </w:t>
            </w:r>
            <w:proofErr w:type="spellStart"/>
            <w:r w:rsidRPr="00837D4A">
              <w:rPr>
                <w:rFonts w:ascii="Verdana" w:hAnsi="Verdana"/>
                <w:b/>
                <w:sz w:val="16"/>
                <w:szCs w:val="16"/>
                <w:lang w:val="es-ES_tradnl"/>
              </w:rPr>
              <w:t>Casaubon</w:t>
            </w:r>
            <w:proofErr w:type="spellEnd"/>
            <w:r w:rsidRPr="00837D4A">
              <w:rPr>
                <w:rFonts w:ascii="Verdana" w:hAnsi="Verdana"/>
                <w:sz w:val="16"/>
                <w:szCs w:val="16"/>
                <w:lang w:val="es-ES_tradnl"/>
              </w:rPr>
              <w:t>.- Rúbrica.</w:t>
            </w:r>
          </w:p>
        </w:tc>
        <w:tc>
          <w:tcPr>
            <w:tcW w:w="4649" w:type="dxa"/>
          </w:tcPr>
          <w:p w14:paraId="4E98AE53" w14:textId="5B77837F" w:rsidR="009849AC" w:rsidRPr="00837D4A" w:rsidRDefault="009849AC" w:rsidP="009849AC">
            <w:pPr>
              <w:pStyle w:val="Texto"/>
              <w:spacing w:line="227" w:lineRule="exact"/>
              <w:ind w:firstLine="0"/>
              <w:rPr>
                <w:rFonts w:ascii="Verdana" w:hAnsi="Verdana"/>
                <w:sz w:val="16"/>
                <w:szCs w:val="16"/>
                <w:lang w:val="en-US"/>
              </w:rPr>
            </w:pPr>
            <w:r w:rsidRPr="00837D4A">
              <w:rPr>
                <w:rFonts w:ascii="Verdana" w:hAnsi="Verdana"/>
                <w:sz w:val="16"/>
                <w:szCs w:val="16"/>
                <w:lang w:val="en-US"/>
              </w:rPr>
              <w:t xml:space="preserve">Issued at the residence of the Federal Executive Power, in Mexico City on September 29, 2025.- President of the United Mexican States, </w:t>
            </w:r>
            <w:r w:rsidRPr="00837D4A">
              <w:rPr>
                <w:rFonts w:ascii="Verdana" w:hAnsi="Verdana"/>
                <w:b/>
                <w:sz w:val="16"/>
                <w:szCs w:val="16"/>
                <w:lang w:val="en-US"/>
              </w:rPr>
              <w:t>Claudia Sheinbaum Pardo.</w:t>
            </w:r>
            <w:r w:rsidRPr="00837D4A">
              <w:rPr>
                <w:rFonts w:ascii="Verdana" w:hAnsi="Verdana"/>
                <w:sz w:val="16"/>
                <w:szCs w:val="16"/>
                <w:lang w:val="en-US"/>
              </w:rPr>
              <w:t xml:space="preserve">- Signed.- Secretary of Finance and Public Credit, </w:t>
            </w:r>
            <w:r w:rsidRPr="00837D4A">
              <w:rPr>
                <w:rFonts w:ascii="Verdana" w:hAnsi="Verdana"/>
                <w:b/>
                <w:sz w:val="16"/>
                <w:szCs w:val="16"/>
                <w:lang w:val="en-US"/>
              </w:rPr>
              <w:t>Édgar Abraham Amador Zamora.</w:t>
            </w:r>
            <w:r w:rsidRPr="00837D4A">
              <w:rPr>
                <w:rFonts w:ascii="Verdana" w:hAnsi="Verdana"/>
                <w:sz w:val="16"/>
                <w:szCs w:val="16"/>
                <w:lang w:val="en-US"/>
              </w:rPr>
              <w:t xml:space="preserve">- </w:t>
            </w:r>
            <w:proofErr w:type="spellStart"/>
            <w:r w:rsidRPr="00837D4A">
              <w:rPr>
                <w:rFonts w:ascii="Verdana" w:hAnsi="Verdana"/>
                <w:sz w:val="16"/>
                <w:szCs w:val="16"/>
                <w:lang w:val="es-ES_tradnl"/>
              </w:rPr>
              <w:t>Signed</w:t>
            </w:r>
            <w:proofErr w:type="spellEnd"/>
            <w:r w:rsidRPr="00837D4A">
              <w:rPr>
                <w:rFonts w:ascii="Verdana" w:hAnsi="Verdana"/>
                <w:sz w:val="16"/>
                <w:szCs w:val="16"/>
                <w:lang w:val="es-ES_tradnl"/>
              </w:rPr>
              <w:t xml:space="preserve">.- </w:t>
            </w:r>
            <w:proofErr w:type="spellStart"/>
            <w:r w:rsidRPr="00837D4A">
              <w:rPr>
                <w:rFonts w:ascii="Verdana" w:hAnsi="Verdana"/>
                <w:sz w:val="16"/>
                <w:szCs w:val="16"/>
              </w:rPr>
              <w:t>Secretary</w:t>
            </w:r>
            <w:proofErr w:type="spellEnd"/>
            <w:r w:rsidRPr="00837D4A">
              <w:rPr>
                <w:rFonts w:ascii="Verdana" w:hAnsi="Verdana"/>
                <w:sz w:val="16"/>
                <w:szCs w:val="16"/>
              </w:rPr>
              <w:t xml:space="preserve"> </w:t>
            </w:r>
            <w:proofErr w:type="spellStart"/>
            <w:r w:rsidRPr="00837D4A">
              <w:rPr>
                <w:rFonts w:ascii="Verdana" w:hAnsi="Verdana"/>
                <w:sz w:val="16"/>
                <w:szCs w:val="16"/>
              </w:rPr>
              <w:t>of</w:t>
            </w:r>
            <w:proofErr w:type="spellEnd"/>
            <w:r w:rsidRPr="00837D4A">
              <w:rPr>
                <w:rFonts w:ascii="Verdana" w:hAnsi="Verdana"/>
                <w:sz w:val="16"/>
                <w:szCs w:val="16"/>
              </w:rPr>
              <w:t xml:space="preserve"> Energy, </w:t>
            </w:r>
            <w:r w:rsidRPr="00837D4A">
              <w:rPr>
                <w:rFonts w:ascii="Verdana" w:hAnsi="Verdana"/>
                <w:b/>
                <w:sz w:val="16"/>
                <w:szCs w:val="16"/>
              </w:rPr>
              <w:t>Luz Elena González Escobar.</w:t>
            </w:r>
            <w:r w:rsidRPr="00837D4A">
              <w:rPr>
                <w:rFonts w:ascii="Verdana" w:hAnsi="Verdana"/>
                <w:sz w:val="16"/>
                <w:szCs w:val="16"/>
              </w:rPr>
              <w:t xml:space="preserve">- </w:t>
            </w:r>
            <w:proofErr w:type="spellStart"/>
            <w:r w:rsidRPr="00837D4A">
              <w:rPr>
                <w:rFonts w:ascii="Verdana" w:hAnsi="Verdana"/>
                <w:sz w:val="16"/>
                <w:szCs w:val="16"/>
              </w:rPr>
              <w:t>Signed</w:t>
            </w:r>
            <w:proofErr w:type="spellEnd"/>
            <w:r w:rsidRPr="00837D4A">
              <w:rPr>
                <w:rFonts w:ascii="Verdana" w:hAnsi="Verdana"/>
                <w:sz w:val="16"/>
                <w:szCs w:val="16"/>
              </w:rPr>
              <w:t xml:space="preserve">.- </w:t>
            </w:r>
            <w:proofErr w:type="spellStart"/>
            <w:r w:rsidRPr="00837D4A">
              <w:rPr>
                <w:rFonts w:ascii="Verdana" w:hAnsi="Verdana"/>
                <w:sz w:val="16"/>
                <w:szCs w:val="16"/>
                <w:lang w:val="es-ES_tradnl"/>
              </w:rPr>
              <w:t>Secretary</w:t>
            </w:r>
            <w:proofErr w:type="spellEnd"/>
            <w:r w:rsidRPr="00837D4A">
              <w:rPr>
                <w:rFonts w:ascii="Verdana" w:hAnsi="Verdana"/>
                <w:sz w:val="16"/>
                <w:szCs w:val="16"/>
                <w:lang w:val="es-ES_tradnl"/>
              </w:rPr>
              <w:t xml:space="preserve"> </w:t>
            </w:r>
            <w:proofErr w:type="spellStart"/>
            <w:r w:rsidRPr="00837D4A">
              <w:rPr>
                <w:rFonts w:ascii="Verdana" w:hAnsi="Verdana"/>
                <w:sz w:val="16"/>
                <w:szCs w:val="16"/>
                <w:lang w:val="es-ES_tradnl"/>
              </w:rPr>
              <w:t>of</w:t>
            </w:r>
            <w:proofErr w:type="spellEnd"/>
            <w:r w:rsidRPr="00837D4A">
              <w:rPr>
                <w:rFonts w:ascii="Verdana" w:hAnsi="Verdana"/>
                <w:sz w:val="16"/>
                <w:szCs w:val="16"/>
                <w:lang w:val="es-ES_tradnl"/>
              </w:rPr>
              <w:t xml:space="preserve"> </w:t>
            </w:r>
            <w:proofErr w:type="spellStart"/>
            <w:r w:rsidRPr="00837D4A">
              <w:rPr>
                <w:rFonts w:ascii="Verdana" w:hAnsi="Verdana"/>
                <w:sz w:val="16"/>
                <w:szCs w:val="16"/>
                <w:lang w:val="es-ES_tradnl"/>
              </w:rPr>
              <w:t>Economy</w:t>
            </w:r>
            <w:proofErr w:type="spellEnd"/>
            <w:r w:rsidRPr="00837D4A">
              <w:rPr>
                <w:rFonts w:ascii="Verdana" w:hAnsi="Verdana"/>
                <w:sz w:val="16"/>
                <w:szCs w:val="16"/>
                <w:lang w:val="es-ES_tradnl"/>
              </w:rPr>
              <w:t xml:space="preserve">, </w:t>
            </w:r>
            <w:r w:rsidRPr="00837D4A">
              <w:rPr>
                <w:rFonts w:ascii="Verdana" w:hAnsi="Verdana"/>
                <w:b/>
                <w:sz w:val="16"/>
                <w:szCs w:val="16"/>
                <w:lang w:val="es-ES_tradnl"/>
              </w:rPr>
              <w:t xml:space="preserve">Marcelo Luis Ebrard </w:t>
            </w:r>
            <w:proofErr w:type="spellStart"/>
            <w:r w:rsidRPr="00837D4A">
              <w:rPr>
                <w:rFonts w:ascii="Verdana" w:hAnsi="Verdana"/>
                <w:b/>
                <w:sz w:val="16"/>
                <w:szCs w:val="16"/>
                <w:lang w:val="es-ES_tradnl"/>
              </w:rPr>
              <w:t>Casaubon</w:t>
            </w:r>
            <w:proofErr w:type="spellEnd"/>
            <w:r w:rsidRPr="00837D4A">
              <w:rPr>
                <w:rFonts w:ascii="Verdana" w:hAnsi="Verdana"/>
                <w:b/>
                <w:sz w:val="16"/>
                <w:szCs w:val="16"/>
                <w:lang w:val="es-ES_tradnl"/>
              </w:rPr>
              <w:t>.</w:t>
            </w:r>
            <w:r w:rsidRPr="00837D4A">
              <w:rPr>
                <w:rFonts w:ascii="Verdana" w:hAnsi="Verdana"/>
                <w:sz w:val="16"/>
                <w:szCs w:val="16"/>
                <w:lang w:val="es-ES_tradnl"/>
              </w:rPr>
              <w:t xml:space="preserve">- </w:t>
            </w:r>
            <w:proofErr w:type="spellStart"/>
            <w:r w:rsidRPr="00837D4A">
              <w:rPr>
                <w:rFonts w:ascii="Verdana" w:hAnsi="Verdana"/>
                <w:sz w:val="16"/>
                <w:szCs w:val="16"/>
                <w:lang w:val="es-ES_tradnl"/>
              </w:rPr>
              <w:t>Signed</w:t>
            </w:r>
            <w:proofErr w:type="spellEnd"/>
            <w:r w:rsidRPr="00837D4A">
              <w:rPr>
                <w:rFonts w:ascii="Verdana" w:hAnsi="Verdana"/>
                <w:sz w:val="16"/>
                <w:szCs w:val="16"/>
                <w:lang w:val="es-ES_tradnl"/>
              </w:rPr>
              <w:t>.</w:t>
            </w:r>
          </w:p>
        </w:tc>
      </w:tr>
    </w:tbl>
    <w:p w14:paraId="18293C09" w14:textId="77777777" w:rsidR="00D0180E" w:rsidRDefault="00D0180E" w:rsidP="000E23B0">
      <w:pPr>
        <w:pStyle w:val="Texto"/>
        <w:spacing w:line="227" w:lineRule="exact"/>
        <w:rPr>
          <w:rFonts w:ascii="Verdana" w:hAnsi="Verdana"/>
          <w:sz w:val="16"/>
          <w:szCs w:val="16"/>
          <w:lang w:val="es-ES_tradnl"/>
        </w:rPr>
      </w:pPr>
    </w:p>
    <w:p w14:paraId="32E5E6FE" w14:textId="77777777" w:rsidR="00D0180E" w:rsidRDefault="00D0180E" w:rsidP="000E23B0">
      <w:pPr>
        <w:pStyle w:val="Texto"/>
        <w:spacing w:line="227" w:lineRule="exact"/>
        <w:rPr>
          <w:rFonts w:ascii="Verdana" w:hAnsi="Verdana"/>
          <w:sz w:val="16"/>
          <w:szCs w:val="16"/>
          <w:lang w:val="es-ES_tradnl"/>
        </w:rPr>
      </w:pPr>
    </w:p>
    <w:p w14:paraId="5268BE13" w14:textId="77777777" w:rsidR="00D0180E" w:rsidRDefault="00D0180E" w:rsidP="000E23B0">
      <w:pPr>
        <w:pStyle w:val="Texto"/>
        <w:spacing w:line="227" w:lineRule="exact"/>
        <w:rPr>
          <w:rFonts w:ascii="Verdana" w:hAnsi="Verdana"/>
          <w:sz w:val="16"/>
          <w:szCs w:val="16"/>
          <w:lang w:val="es-ES_tradnl"/>
        </w:rPr>
      </w:pPr>
    </w:p>
    <w:p w14:paraId="11EE1E9E" w14:textId="77777777" w:rsidR="00D0180E" w:rsidRDefault="00D0180E" w:rsidP="000E23B0">
      <w:pPr>
        <w:pStyle w:val="Texto"/>
        <w:spacing w:line="227" w:lineRule="exact"/>
        <w:rPr>
          <w:rFonts w:ascii="Verdana" w:hAnsi="Verdana"/>
          <w:sz w:val="16"/>
          <w:szCs w:val="16"/>
          <w:lang w:val="es-ES_tradnl"/>
        </w:rPr>
      </w:pPr>
    </w:p>
    <w:p w14:paraId="678864EC" w14:textId="656549C0" w:rsidR="00AC64B3" w:rsidRPr="00C573CB" w:rsidRDefault="00AC64B3" w:rsidP="000E23B0">
      <w:pPr>
        <w:pStyle w:val="Texto"/>
        <w:spacing w:after="60" w:line="214" w:lineRule="exact"/>
        <w:rPr>
          <w:rFonts w:ascii="Verdana" w:hAnsi="Verdana"/>
          <w:sz w:val="16"/>
          <w:szCs w:val="16"/>
          <w:lang w:val="es-ES_tradnl"/>
        </w:rPr>
      </w:pPr>
      <w:r w:rsidRPr="00C573CB">
        <w:rPr>
          <w:rFonts w:ascii="Verdana" w:hAnsi="Verdana"/>
          <w:sz w:val="16"/>
          <w:szCs w:val="16"/>
          <w:lang w:val="es-ES_tradnl"/>
        </w:rPr>
        <w:t>.</w:t>
      </w:r>
    </w:p>
    <w:p w14:paraId="42C20C93" w14:textId="77777777" w:rsidR="00D0180E" w:rsidRDefault="00D0180E" w:rsidP="00C573CB">
      <w:pPr>
        <w:pStyle w:val="Titulo1"/>
        <w:pBdr>
          <w:bottom w:val="none" w:sz="0" w:space="0" w:color="auto"/>
        </w:pBdr>
        <w:rPr>
          <w:rFonts w:ascii="Verdana" w:hAnsi="Verdana" w:cs="Times New Roman"/>
          <w:sz w:val="16"/>
          <w:szCs w:val="16"/>
        </w:rPr>
      </w:pPr>
    </w:p>
    <w:p w14:paraId="253C31BF" w14:textId="77777777" w:rsidR="006E55D8" w:rsidRDefault="006E55D8" w:rsidP="00C573CB">
      <w:pPr>
        <w:pStyle w:val="Titulo1"/>
        <w:pBdr>
          <w:bottom w:val="none" w:sz="0" w:space="0" w:color="auto"/>
        </w:pBdr>
        <w:rPr>
          <w:rFonts w:ascii="Verdana" w:hAnsi="Verdana" w:cs="Times New Roman"/>
          <w:sz w:val="16"/>
          <w:szCs w:val="16"/>
        </w:rPr>
      </w:pPr>
    </w:p>
    <w:p w14:paraId="4665E276" w14:textId="77777777" w:rsidR="00D0180E" w:rsidRDefault="00D0180E" w:rsidP="000E23B0">
      <w:pPr>
        <w:pStyle w:val="Texto"/>
        <w:spacing w:line="218" w:lineRule="exact"/>
        <w:rPr>
          <w:rFonts w:ascii="Verdana" w:hAnsi="Verdana" w:cs="Times New Roman"/>
          <w:sz w:val="16"/>
          <w:szCs w:val="16"/>
        </w:rPr>
      </w:pPr>
    </w:p>
    <w:p w14:paraId="3AF49627" w14:textId="77777777" w:rsidR="00D0180E" w:rsidRDefault="00D0180E" w:rsidP="000E23B0">
      <w:pPr>
        <w:pStyle w:val="Texto"/>
        <w:spacing w:line="218" w:lineRule="exact"/>
        <w:rPr>
          <w:rFonts w:ascii="Verdana" w:hAnsi="Verdana" w:cs="Times New Roman"/>
          <w:sz w:val="16"/>
          <w:szCs w:val="16"/>
        </w:rPr>
      </w:pPr>
    </w:p>
    <w:p w14:paraId="5CA10B4A" w14:textId="7C3B2ACA" w:rsidR="00AC64B3" w:rsidRPr="00C573CB" w:rsidRDefault="00AC64B3" w:rsidP="00D0180E">
      <w:pPr>
        <w:pStyle w:val="Texto"/>
        <w:spacing w:line="220" w:lineRule="exact"/>
        <w:ind w:firstLine="0"/>
        <w:rPr>
          <w:rFonts w:ascii="Verdana" w:hAnsi="Verdana"/>
          <w:sz w:val="16"/>
          <w:szCs w:val="16"/>
        </w:rPr>
      </w:pPr>
    </w:p>
    <w:sectPr w:rsidR="00AC64B3" w:rsidRPr="00C573CB" w:rsidSect="00C60792">
      <w:headerReference w:type="even" r:id="rId8"/>
      <w:headerReference w:type="default" r:id="rId9"/>
      <w:footerReference w:type="default" r:id="rId10"/>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81D6C" w14:textId="77777777" w:rsidR="00D12CC1" w:rsidRDefault="00D12CC1">
      <w:r>
        <w:separator/>
      </w:r>
    </w:p>
  </w:endnote>
  <w:endnote w:type="continuationSeparator" w:id="0">
    <w:p w14:paraId="1704C83C" w14:textId="77777777" w:rsidR="00D12CC1" w:rsidRDefault="00D12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Ao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Aal Black">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ArAal Negrita">
    <w:altName w:val="Cambria"/>
    <w:charset w:val="00"/>
    <w:family w:val="roman"/>
    <w:pitch w:val="default"/>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ArAal Unicode MS">
    <w:panose1 w:val="00000000000000000000"/>
    <w:charset w:val="00"/>
    <w:family w:val="swiss"/>
    <w:notTrueType/>
    <w:pitch w:val="default"/>
    <w:sig w:usb0="00000003" w:usb1="00000000" w:usb2="00000000" w:usb3="00000000" w:csb0="00000001" w:csb1="00000000"/>
  </w:font>
  <w:font w:name="UnAvers">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1771" w14:textId="0F17BFAC" w:rsidR="00C60792" w:rsidRPr="00C60792" w:rsidRDefault="00C60792">
    <w:pPr>
      <w:pStyle w:val="Footer"/>
      <w:rPr>
        <w:rFonts w:ascii="Verdana" w:hAnsi="Verdana"/>
        <w:b/>
        <w:bCs/>
        <w:sz w:val="16"/>
        <w:szCs w:val="16"/>
        <w:lang w:val="es-MX"/>
      </w:rPr>
    </w:pPr>
    <w:r w:rsidRPr="00C60792">
      <w:rPr>
        <w:rFonts w:ascii="Verdana" w:hAnsi="Verdana"/>
        <w:b/>
        <w:bCs/>
        <w:sz w:val="16"/>
        <w:szCs w:val="16"/>
        <w:lang w:val="es-MX"/>
      </w:rPr>
      <w:t>Derechos Reservados © 2025 Lic. Glenn Louis McBride</w:t>
    </w:r>
    <w:r>
      <w:rPr>
        <w:rFonts w:ascii="Verdana" w:hAnsi="Verdana"/>
        <w:b/>
        <w:bCs/>
        <w:sz w:val="16"/>
        <w:szCs w:val="16"/>
        <w:lang w:val="es-MX"/>
      </w:rPr>
      <w:t xml:space="preserve">                                                                    </w:t>
    </w:r>
    <w:r w:rsidRPr="00C60792">
      <w:rPr>
        <w:rFonts w:ascii="Verdana" w:hAnsi="Verdana"/>
        <w:b/>
        <w:bCs/>
        <w:sz w:val="16"/>
        <w:szCs w:val="16"/>
        <w:lang w:val="es-MX"/>
      </w:rPr>
      <w:t xml:space="preserve">  </w:t>
    </w:r>
    <w:r w:rsidRPr="00C60792">
      <w:rPr>
        <w:rFonts w:ascii="Verdana" w:hAnsi="Verdana"/>
        <w:b/>
        <w:bCs/>
        <w:sz w:val="16"/>
        <w:szCs w:val="16"/>
        <w:lang w:val="es-MX"/>
      </w:rPr>
      <w:fldChar w:fldCharType="begin"/>
    </w:r>
    <w:r w:rsidRPr="00C60792">
      <w:rPr>
        <w:rFonts w:ascii="Verdana" w:hAnsi="Verdana"/>
        <w:b/>
        <w:bCs/>
        <w:sz w:val="16"/>
        <w:szCs w:val="16"/>
        <w:lang w:val="es-MX"/>
      </w:rPr>
      <w:instrText xml:space="preserve"> PAGE   \* MERGEFORMAT </w:instrText>
    </w:r>
    <w:r w:rsidRPr="00C60792">
      <w:rPr>
        <w:rFonts w:ascii="Verdana" w:hAnsi="Verdana"/>
        <w:b/>
        <w:bCs/>
        <w:sz w:val="16"/>
        <w:szCs w:val="16"/>
        <w:lang w:val="es-MX"/>
      </w:rPr>
      <w:fldChar w:fldCharType="separate"/>
    </w:r>
    <w:r w:rsidRPr="00C60792">
      <w:rPr>
        <w:rFonts w:ascii="Verdana" w:hAnsi="Verdana"/>
        <w:b/>
        <w:bCs/>
        <w:noProof/>
        <w:sz w:val="16"/>
        <w:szCs w:val="16"/>
        <w:lang w:val="es-MX"/>
      </w:rPr>
      <w:t>1</w:t>
    </w:r>
    <w:r w:rsidRPr="00C60792">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ED125" w14:textId="77777777" w:rsidR="00D12CC1" w:rsidRDefault="00D12CC1">
      <w:r>
        <w:separator/>
      </w:r>
    </w:p>
  </w:footnote>
  <w:footnote w:type="continuationSeparator" w:id="0">
    <w:p w14:paraId="15030A8F" w14:textId="77777777" w:rsidR="00D12CC1" w:rsidRDefault="00D12CC1">
      <w:r>
        <w:continuationSeparator/>
      </w:r>
    </w:p>
  </w:footnote>
  <w:footnote w:id="1">
    <w:p w14:paraId="333E2081" w14:textId="77777777" w:rsidR="009849AC" w:rsidRPr="00F42D42" w:rsidRDefault="009849AC" w:rsidP="00F42D42">
      <w:pPr>
        <w:rPr>
          <w:rFonts w:ascii="Verdana" w:hAnsi="Verdana"/>
          <w:bCs/>
          <w:sz w:val="16"/>
          <w:szCs w:val="16"/>
          <w:lang w:val="en-US"/>
        </w:rPr>
      </w:pPr>
      <w:r>
        <w:rPr>
          <w:rStyle w:val="FootnoteReference"/>
        </w:rPr>
        <w:footnoteRef/>
      </w:r>
      <w:r w:rsidRPr="00F42D42">
        <w:rPr>
          <w:lang w:val="en-US"/>
        </w:rPr>
        <w:t xml:space="preserve"> </w:t>
      </w:r>
      <w:r w:rsidRPr="00F42D42">
        <w:rPr>
          <w:rFonts w:ascii="Verdana" w:hAnsi="Verdana"/>
          <w:bCs/>
          <w:sz w:val="16"/>
          <w:szCs w:val="16"/>
          <w:lang w:val="en-US"/>
        </w:rPr>
        <w:t xml:space="preserve">“Prevención”  (Prevention) is a legal term used when an Authority (Judge or Government Department) finds that the requirements to complete a procedure, process or application are incomplete they formulate a “prevención” that states what is required to continue the process or application. </w:t>
      </w:r>
    </w:p>
    <w:p w14:paraId="17C716A5" w14:textId="7171C9E7" w:rsidR="009849AC" w:rsidRDefault="009849AC">
      <w:pPr>
        <w:pStyle w:val="FootnoteText"/>
      </w:pPr>
    </w:p>
  </w:footnote>
  <w:footnote w:id="2">
    <w:p w14:paraId="317779C3" w14:textId="77777777" w:rsidR="009849AC" w:rsidRDefault="009849AC" w:rsidP="00A836E4">
      <w:pPr>
        <w:rPr>
          <w:rFonts w:ascii="Verdana" w:hAnsi="Verdana"/>
          <w:sz w:val="16"/>
          <w:szCs w:val="16"/>
        </w:rPr>
      </w:pPr>
      <w:r>
        <w:rPr>
          <w:rStyle w:val="FootnoteReference"/>
        </w:rPr>
        <w:footnoteRef/>
      </w:r>
      <w:r w:rsidRPr="00CC2874">
        <w:rPr>
          <w:lang w:val="en-US"/>
        </w:rPr>
        <w:t xml:space="preserve"> </w:t>
      </w:r>
      <w:r w:rsidRPr="00CC2874">
        <w:rPr>
          <w:rFonts w:ascii="Verdana" w:hAnsi="Verdana"/>
          <w:i/>
          <w:sz w:val="16"/>
          <w:szCs w:val="16"/>
          <w:lang w:val="en-US"/>
        </w:rPr>
        <w:t>Notario Público.</w:t>
      </w:r>
      <w:r w:rsidRPr="00CC2874">
        <w:rPr>
          <w:rFonts w:ascii="Verdana" w:hAnsi="Verdana"/>
          <w:sz w:val="16"/>
          <w:szCs w:val="16"/>
          <w:lang w:val="en-US"/>
        </w:rPr>
        <w:t xml:space="preserve"> In Mexico, incorporation, recording of real estate transactions, deeds, wills, power of attorney, trusts, etc., must be witnessed and recorded by a </w:t>
      </w:r>
      <w:r w:rsidRPr="00CC2874">
        <w:rPr>
          <w:rFonts w:ascii="Verdana" w:hAnsi="Verdana"/>
          <w:i/>
          <w:sz w:val="16"/>
          <w:szCs w:val="16"/>
          <w:lang w:val="en-US"/>
        </w:rPr>
        <w:t xml:space="preserve">Notario Público. </w:t>
      </w:r>
      <w:r w:rsidRPr="00CC2874">
        <w:rPr>
          <w:rFonts w:ascii="Verdana" w:hAnsi="Verdana"/>
          <w:sz w:val="16"/>
          <w:szCs w:val="16"/>
          <w:lang w:val="en-US"/>
        </w:rPr>
        <w:t xml:space="preserve">The </w:t>
      </w:r>
      <w:r w:rsidRPr="00CC2874">
        <w:rPr>
          <w:rFonts w:ascii="Verdana" w:hAnsi="Verdana"/>
          <w:i/>
          <w:sz w:val="16"/>
          <w:szCs w:val="16"/>
          <w:lang w:val="en-US"/>
        </w:rPr>
        <w:t xml:space="preserve">Notario </w:t>
      </w:r>
      <w:r w:rsidRPr="00CC2874">
        <w:rPr>
          <w:rFonts w:ascii="Verdana" w:hAnsi="Verdana"/>
          <w:sz w:val="16"/>
          <w:szCs w:val="16"/>
          <w:lang w:val="en-US"/>
        </w:rPr>
        <w:t xml:space="preserve">serves as oversight over the legalization of documents and acts. The </w:t>
      </w:r>
      <w:r w:rsidRPr="00CC2874">
        <w:rPr>
          <w:rFonts w:ascii="Verdana" w:hAnsi="Verdana"/>
          <w:i/>
          <w:sz w:val="16"/>
          <w:szCs w:val="16"/>
          <w:lang w:val="en-US"/>
        </w:rPr>
        <w:t>Notario Público</w:t>
      </w:r>
      <w:r w:rsidRPr="00CC2874">
        <w:rPr>
          <w:rFonts w:ascii="Verdana" w:hAnsi="Verdana"/>
          <w:sz w:val="16"/>
          <w:szCs w:val="16"/>
          <w:lang w:val="en-US"/>
        </w:rPr>
        <w:t xml:space="preserve"> does not correspond to a Notary Public in the US or Canada. The principal difference between the Mexican </w:t>
      </w:r>
      <w:r w:rsidRPr="00CC2874">
        <w:rPr>
          <w:rFonts w:ascii="Verdana" w:hAnsi="Verdana"/>
          <w:i/>
          <w:sz w:val="16"/>
          <w:szCs w:val="16"/>
          <w:lang w:val="en-US"/>
        </w:rPr>
        <w:t>Notario Público</w:t>
      </w:r>
      <w:r w:rsidRPr="00CC2874">
        <w:rPr>
          <w:rFonts w:ascii="Verdana" w:hAnsi="Verdana"/>
          <w:sz w:val="16"/>
          <w:szCs w:val="16"/>
          <w:lang w:val="en-US"/>
        </w:rPr>
        <w:t xml:space="preserve"> and a Notary Public is that the </w:t>
      </w:r>
      <w:r w:rsidRPr="00CC2874">
        <w:rPr>
          <w:rFonts w:ascii="Verdana" w:hAnsi="Verdana"/>
          <w:i/>
          <w:sz w:val="16"/>
          <w:szCs w:val="16"/>
          <w:lang w:val="en-US"/>
        </w:rPr>
        <w:t>Notario Público</w:t>
      </w:r>
      <w:r w:rsidRPr="00CC2874">
        <w:rPr>
          <w:rFonts w:ascii="Verdana" w:hAnsi="Verdana"/>
          <w:sz w:val="16"/>
          <w:szCs w:val="16"/>
          <w:lang w:val="en-US"/>
        </w:rPr>
        <w:t xml:space="preserve"> is responsible for the legality of the content of the document while the Notary Public only certifies the identity of the signer. </w:t>
      </w:r>
      <w:r>
        <w:rPr>
          <w:rFonts w:ascii="Verdana" w:hAnsi="Verdana"/>
          <w:sz w:val="16"/>
          <w:szCs w:val="16"/>
        </w:rPr>
        <w:t xml:space="preserve">A </w:t>
      </w:r>
      <w:r>
        <w:rPr>
          <w:rFonts w:ascii="Verdana" w:hAnsi="Verdana"/>
          <w:i/>
          <w:iCs/>
          <w:sz w:val="16"/>
          <w:szCs w:val="16"/>
        </w:rPr>
        <w:t xml:space="preserve">Notario Público </w:t>
      </w:r>
      <w:r>
        <w:rPr>
          <w:rFonts w:ascii="Verdana" w:hAnsi="Verdana"/>
          <w:sz w:val="16"/>
          <w:szCs w:val="16"/>
        </w:rPr>
        <w:t xml:space="preserve">works at a </w:t>
      </w:r>
      <w:r>
        <w:rPr>
          <w:rFonts w:ascii="Verdana" w:hAnsi="Verdana"/>
          <w:i/>
          <w:iCs/>
          <w:sz w:val="16"/>
          <w:szCs w:val="16"/>
        </w:rPr>
        <w:t>Notaría Pública.</w:t>
      </w:r>
      <w:r>
        <w:rPr>
          <w:rFonts w:ascii="Verdana" w:hAnsi="Verdana"/>
          <w:sz w:val="16"/>
          <w:szCs w:val="16"/>
        </w:rPr>
        <w:t xml:space="preserve"> </w:t>
      </w:r>
    </w:p>
    <w:p w14:paraId="3B69FFFC" w14:textId="4F86EDD4" w:rsidR="009849AC" w:rsidRDefault="009849AC">
      <w:pPr>
        <w:pStyle w:val="FootnoteText"/>
      </w:pPr>
    </w:p>
  </w:footnote>
  <w:footnote w:id="3">
    <w:p w14:paraId="17590A72" w14:textId="38925564" w:rsidR="009849AC" w:rsidRDefault="009849AC">
      <w:pPr>
        <w:pStyle w:val="FootnoteText"/>
      </w:pPr>
      <w:r>
        <w:rPr>
          <w:rStyle w:val="FootnoteReference"/>
        </w:rPr>
        <w:footnoteRef/>
      </w:r>
      <w:r>
        <w:t xml:space="preserve"> </w:t>
      </w:r>
      <w:r w:rsidRPr="005B3A49">
        <w:t>“</w:t>
      </w:r>
      <w:r w:rsidRPr="005B3A49">
        <w:t>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p>
  </w:footnote>
  <w:footnote w:id="4">
    <w:p w14:paraId="167BC32D" w14:textId="23758E9F" w:rsidR="009849AC" w:rsidRPr="00745648" w:rsidRDefault="009849AC" w:rsidP="00745648">
      <w:pPr>
        <w:pStyle w:val="FootnoteText"/>
      </w:pPr>
      <w:r>
        <w:rPr>
          <w:rStyle w:val="FootnoteReference"/>
        </w:rPr>
        <w:footnoteRef/>
      </w:r>
      <w:r>
        <w:t xml:space="preserve"> </w:t>
      </w:r>
      <w:r w:rsidRPr="00745648">
        <w:rPr>
          <w:bCs/>
        </w:rPr>
        <w:t>“</w:t>
      </w:r>
      <w:r w:rsidRPr="00745648">
        <w:rPr>
          <w:bCs/>
        </w:rPr>
        <w:t>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p>
  </w:footnote>
  <w:footnote w:id="5">
    <w:p w14:paraId="7120EDFE" w14:textId="77777777" w:rsidR="009849AC" w:rsidRDefault="009849AC" w:rsidP="001D3CE9">
      <w:pPr>
        <w:rPr>
          <w:rFonts w:ascii="Verdana" w:hAnsi="Verdana"/>
          <w:i/>
          <w:iCs/>
          <w:sz w:val="16"/>
          <w:szCs w:val="16"/>
        </w:rPr>
      </w:pPr>
      <w:r>
        <w:rPr>
          <w:rStyle w:val="FootnoteReference"/>
        </w:rPr>
        <w:footnoteRef/>
      </w:r>
      <w:r w:rsidRPr="001D3CE9">
        <w:rPr>
          <w:lang w:val="en-US"/>
        </w:rPr>
        <w:t xml:space="preserve"> </w:t>
      </w:r>
      <w:r w:rsidRPr="001D3CE9">
        <w:rPr>
          <w:rFonts w:ascii="Verdana" w:hAnsi="Verdana"/>
          <w:i/>
          <w:iCs/>
          <w:sz w:val="16"/>
          <w:szCs w:val="16"/>
          <w:lang w:val="en-US"/>
        </w:rPr>
        <w:t>Ejido</w:t>
      </w:r>
      <w:r w:rsidRPr="001D3CE9">
        <w:rPr>
          <w:rFonts w:ascii="Verdana" w:hAnsi="Verdana"/>
          <w:sz w:val="16"/>
          <w:szCs w:val="16"/>
          <w:lang w:val="en-US"/>
        </w:rPr>
        <w:t xml:space="preserve">,  in Mexico, village lands communally held in the traditional indigenous system of land tenure that combines communal ownership with individual use. Cultivated land is divided into separate family holdings, which cannot be sold although they can be handed down to heirs. </w:t>
      </w:r>
      <w:r w:rsidRPr="00BC0CFC">
        <w:rPr>
          <w:rFonts w:ascii="Verdana" w:hAnsi="Verdana"/>
          <w:sz w:val="16"/>
          <w:szCs w:val="16"/>
        </w:rPr>
        <w:t xml:space="preserve">The members of the ejido are called </w:t>
      </w:r>
      <w:r w:rsidRPr="00BC0CFC">
        <w:rPr>
          <w:rFonts w:ascii="Verdana" w:hAnsi="Verdana"/>
          <w:i/>
          <w:iCs/>
          <w:sz w:val="16"/>
          <w:szCs w:val="16"/>
        </w:rPr>
        <w:t xml:space="preserve">ejidatarios. </w:t>
      </w:r>
    </w:p>
    <w:p w14:paraId="17572668" w14:textId="77777777" w:rsidR="009849AC" w:rsidRDefault="009849AC" w:rsidP="001D3CE9">
      <w:pPr>
        <w:rPr>
          <w:rFonts w:ascii="Verdana" w:hAnsi="Verdana"/>
          <w:i/>
          <w:iCs/>
          <w:sz w:val="16"/>
          <w:szCs w:val="16"/>
        </w:rPr>
      </w:pPr>
    </w:p>
    <w:p w14:paraId="3F2DCE5C" w14:textId="05692473" w:rsidR="009849AC" w:rsidRDefault="009849AC">
      <w:pPr>
        <w:pStyle w:val="FootnoteText"/>
      </w:pPr>
    </w:p>
  </w:footnote>
  <w:footnote w:id="6">
    <w:p w14:paraId="5ABABECB" w14:textId="5F0A842C" w:rsidR="009849AC" w:rsidRDefault="009849AC">
      <w:pPr>
        <w:pStyle w:val="FootnoteText"/>
      </w:pPr>
      <w:r>
        <w:rPr>
          <w:rStyle w:val="FootnoteReference"/>
        </w:rPr>
        <w:footnoteRef/>
      </w:r>
      <w:r>
        <w:t xml:space="preserve"> </w:t>
      </w:r>
      <w:r w:rsidRPr="00CA416D">
        <w:t>Testigos Sociales - Social witnesses are individuals or legal entities that act as observers in public procurement processes. Their main objective is to ensure that the purchasing and contracting processes are carried out transparently and legally. They participate in specific cases, such as contracts that exceed certain established amounts, and their intervention seeks to prevent corruption and promote accountability in the use of public resources.</w:t>
      </w:r>
    </w:p>
  </w:footnote>
  <w:footnote w:id="7">
    <w:p w14:paraId="23C9D663" w14:textId="72AA501A" w:rsidR="009849AC" w:rsidRDefault="009849AC" w:rsidP="00A07541">
      <w:pPr>
        <w:pStyle w:val="FootnoteText"/>
        <w:spacing w:line="240" w:lineRule="auto"/>
      </w:pPr>
      <w:r>
        <w:rPr>
          <w:rStyle w:val="FootnoteReference"/>
        </w:rPr>
        <w:footnoteRef/>
      </w:r>
      <w:r>
        <w:t xml:space="preserve"> </w:t>
      </w:r>
      <w:r w:rsidRPr="00E34334">
        <w:t>“</w:t>
      </w:r>
      <w:r w:rsidRPr="00E34334">
        <w:t>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EECE" w14:textId="77777777" w:rsidR="00A82CF8" w:rsidRPr="00A0381A" w:rsidRDefault="00A0381A" w:rsidP="002B2457">
    <w:pPr>
      <w:pStyle w:val="Fechas"/>
      <w:rPr>
        <w:rFonts w:cs="Times New Roman"/>
      </w:rPr>
    </w:pPr>
    <w:r>
      <w:rPr>
        <w:rFonts w:cs="Times New Roman"/>
      </w:rPr>
      <w:t xml:space="preserve"> </w:t>
    </w:r>
    <w:r w:rsidR="00A82CF8" w:rsidRPr="00A0381A">
      <w:rPr>
        <w:rFonts w:cs="Times New Roman"/>
      </w:rPr>
      <w:t xml:space="preserve">     (Edición Vespertina)</w:t>
    </w:r>
    <w:r w:rsidR="00A82CF8" w:rsidRPr="00A0381A">
      <w:rPr>
        <w:rFonts w:cs="Times New Roman"/>
      </w:rPr>
      <w:tab/>
      <w:t>DIARIO OFICIAL</w:t>
    </w:r>
    <w:r w:rsidR="00A82CF8" w:rsidRPr="00A0381A">
      <w:rPr>
        <w:rFonts w:cs="Times New Roman"/>
      </w:rPr>
      <w:tab/>
      <w:t>Viernes 3 de octubre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F824" w14:textId="055FD990" w:rsidR="00A82CF8" w:rsidRPr="00C60792" w:rsidRDefault="00C60792" w:rsidP="00C60792">
    <w:pPr>
      <w:pStyle w:val="Header"/>
      <w:rPr>
        <w:lang w:val="en-US"/>
      </w:rPr>
    </w:pPr>
    <w:r w:rsidRPr="00C60792">
      <w:rPr>
        <w:rFonts w:ascii="Verdana" w:hAnsi="Verdana"/>
        <w:b/>
        <w:bCs/>
        <w:sz w:val="16"/>
        <w:szCs w:val="16"/>
        <w:lang w:val="en-US"/>
      </w:rPr>
      <w:t>Regulation of the Law of the Hydrocarbons Sector.</w:t>
    </w:r>
    <w:r w:rsidRPr="00837D4A">
      <w:rPr>
        <w:rFonts w:ascii="Verdana" w:hAnsi="Verdana"/>
        <w:sz w:val="16"/>
        <w:szCs w:val="16"/>
        <w:lang w:val="en-US"/>
      </w:rPr>
      <w:t xml:space="preserve"> Published in the DOF on October 3, 2025 – effective date October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585215511">
    <w:abstractNumId w:val="1"/>
  </w:num>
  <w:num w:numId="2" w16cid:durableId="1673872764">
    <w:abstractNumId w:val="2"/>
  </w:num>
  <w:num w:numId="3" w16cid:durableId="1516577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9F"/>
    <w:rsid w:val="0000036A"/>
    <w:rsid w:val="0000049C"/>
    <w:rsid w:val="000005E3"/>
    <w:rsid w:val="00001E41"/>
    <w:rsid w:val="00002873"/>
    <w:rsid w:val="00002BAA"/>
    <w:rsid w:val="0000418A"/>
    <w:rsid w:val="00004815"/>
    <w:rsid w:val="00005BD6"/>
    <w:rsid w:val="00007D5B"/>
    <w:rsid w:val="00010B58"/>
    <w:rsid w:val="000144CB"/>
    <w:rsid w:val="00014572"/>
    <w:rsid w:val="000150F5"/>
    <w:rsid w:val="00015C34"/>
    <w:rsid w:val="00016395"/>
    <w:rsid w:val="000212E1"/>
    <w:rsid w:val="00023EA0"/>
    <w:rsid w:val="00023FDE"/>
    <w:rsid w:val="00024C59"/>
    <w:rsid w:val="00025505"/>
    <w:rsid w:val="00025A7D"/>
    <w:rsid w:val="00026376"/>
    <w:rsid w:val="00026F18"/>
    <w:rsid w:val="0003075D"/>
    <w:rsid w:val="00030FA7"/>
    <w:rsid w:val="000325C3"/>
    <w:rsid w:val="00034107"/>
    <w:rsid w:val="00035023"/>
    <w:rsid w:val="00036093"/>
    <w:rsid w:val="00042192"/>
    <w:rsid w:val="000433ED"/>
    <w:rsid w:val="00044B41"/>
    <w:rsid w:val="00044E23"/>
    <w:rsid w:val="00044F8D"/>
    <w:rsid w:val="00045558"/>
    <w:rsid w:val="0004638E"/>
    <w:rsid w:val="000468AF"/>
    <w:rsid w:val="00046AF3"/>
    <w:rsid w:val="00047AFF"/>
    <w:rsid w:val="00050B09"/>
    <w:rsid w:val="000513DC"/>
    <w:rsid w:val="0005227E"/>
    <w:rsid w:val="000522DF"/>
    <w:rsid w:val="0005358B"/>
    <w:rsid w:val="00053E86"/>
    <w:rsid w:val="00054AE9"/>
    <w:rsid w:val="00057E14"/>
    <w:rsid w:val="00060C7A"/>
    <w:rsid w:val="000618EF"/>
    <w:rsid w:val="000643A3"/>
    <w:rsid w:val="00065711"/>
    <w:rsid w:val="0006622A"/>
    <w:rsid w:val="000674A0"/>
    <w:rsid w:val="00067E05"/>
    <w:rsid w:val="00070CD9"/>
    <w:rsid w:val="00070CDB"/>
    <w:rsid w:val="000712DA"/>
    <w:rsid w:val="00071479"/>
    <w:rsid w:val="000723C0"/>
    <w:rsid w:val="000725A4"/>
    <w:rsid w:val="000738F2"/>
    <w:rsid w:val="00075461"/>
    <w:rsid w:val="00081964"/>
    <w:rsid w:val="000832FB"/>
    <w:rsid w:val="0008366A"/>
    <w:rsid w:val="00083B96"/>
    <w:rsid w:val="00084125"/>
    <w:rsid w:val="0008415E"/>
    <w:rsid w:val="00084217"/>
    <w:rsid w:val="000845AF"/>
    <w:rsid w:val="00085CFF"/>
    <w:rsid w:val="00086AAA"/>
    <w:rsid w:val="000905C5"/>
    <w:rsid w:val="00090755"/>
    <w:rsid w:val="0009100F"/>
    <w:rsid w:val="0009164E"/>
    <w:rsid w:val="00091BBF"/>
    <w:rsid w:val="000923D8"/>
    <w:rsid w:val="00092726"/>
    <w:rsid w:val="000934C4"/>
    <w:rsid w:val="00093C25"/>
    <w:rsid w:val="00094C45"/>
    <w:rsid w:val="000A09D9"/>
    <w:rsid w:val="000A276D"/>
    <w:rsid w:val="000A43B2"/>
    <w:rsid w:val="000A6730"/>
    <w:rsid w:val="000A726C"/>
    <w:rsid w:val="000A74B0"/>
    <w:rsid w:val="000B03CF"/>
    <w:rsid w:val="000B2BF0"/>
    <w:rsid w:val="000B325B"/>
    <w:rsid w:val="000B3B08"/>
    <w:rsid w:val="000B42E5"/>
    <w:rsid w:val="000B4BD6"/>
    <w:rsid w:val="000B5696"/>
    <w:rsid w:val="000B6308"/>
    <w:rsid w:val="000B698E"/>
    <w:rsid w:val="000C07F6"/>
    <w:rsid w:val="000C18D7"/>
    <w:rsid w:val="000C4426"/>
    <w:rsid w:val="000C4813"/>
    <w:rsid w:val="000C50D4"/>
    <w:rsid w:val="000C518D"/>
    <w:rsid w:val="000C632A"/>
    <w:rsid w:val="000C659E"/>
    <w:rsid w:val="000C7EB9"/>
    <w:rsid w:val="000D352F"/>
    <w:rsid w:val="000D49E9"/>
    <w:rsid w:val="000D730D"/>
    <w:rsid w:val="000D7C52"/>
    <w:rsid w:val="000E23B0"/>
    <w:rsid w:val="000E2799"/>
    <w:rsid w:val="000E32A4"/>
    <w:rsid w:val="000E3D77"/>
    <w:rsid w:val="000E5A7E"/>
    <w:rsid w:val="000E6BF1"/>
    <w:rsid w:val="000E71BC"/>
    <w:rsid w:val="000E7A69"/>
    <w:rsid w:val="000E7D05"/>
    <w:rsid w:val="000E7D77"/>
    <w:rsid w:val="000F0C31"/>
    <w:rsid w:val="000F0FA3"/>
    <w:rsid w:val="000F101A"/>
    <w:rsid w:val="000F3ABE"/>
    <w:rsid w:val="000F3F70"/>
    <w:rsid w:val="000F4916"/>
    <w:rsid w:val="000F4A51"/>
    <w:rsid w:val="000F706A"/>
    <w:rsid w:val="000F711F"/>
    <w:rsid w:val="00100372"/>
    <w:rsid w:val="0010099D"/>
    <w:rsid w:val="0010703B"/>
    <w:rsid w:val="00112540"/>
    <w:rsid w:val="00112664"/>
    <w:rsid w:val="001129F8"/>
    <w:rsid w:val="001132FE"/>
    <w:rsid w:val="001166FF"/>
    <w:rsid w:val="00116C36"/>
    <w:rsid w:val="0012065B"/>
    <w:rsid w:val="001211F2"/>
    <w:rsid w:val="00121E69"/>
    <w:rsid w:val="00121F03"/>
    <w:rsid w:val="001222BC"/>
    <w:rsid w:val="001233AF"/>
    <w:rsid w:val="00123EC8"/>
    <w:rsid w:val="00124A2C"/>
    <w:rsid w:val="001303A7"/>
    <w:rsid w:val="001314DD"/>
    <w:rsid w:val="00132EA8"/>
    <w:rsid w:val="00134960"/>
    <w:rsid w:val="0013614E"/>
    <w:rsid w:val="00136A02"/>
    <w:rsid w:val="00136D02"/>
    <w:rsid w:val="00140A5C"/>
    <w:rsid w:val="00141524"/>
    <w:rsid w:val="00141A11"/>
    <w:rsid w:val="001433F3"/>
    <w:rsid w:val="0014576F"/>
    <w:rsid w:val="001528F7"/>
    <w:rsid w:val="00153202"/>
    <w:rsid w:val="00155A7E"/>
    <w:rsid w:val="001574EC"/>
    <w:rsid w:val="00160A11"/>
    <w:rsid w:val="0016260B"/>
    <w:rsid w:val="00163AE3"/>
    <w:rsid w:val="001642EF"/>
    <w:rsid w:val="001655E7"/>
    <w:rsid w:val="00165AD6"/>
    <w:rsid w:val="0017119D"/>
    <w:rsid w:val="0017160B"/>
    <w:rsid w:val="00173B17"/>
    <w:rsid w:val="00173C70"/>
    <w:rsid w:val="00173E9D"/>
    <w:rsid w:val="001748E8"/>
    <w:rsid w:val="00174D6D"/>
    <w:rsid w:val="00176B02"/>
    <w:rsid w:val="00181964"/>
    <w:rsid w:val="001826BE"/>
    <w:rsid w:val="00182E18"/>
    <w:rsid w:val="001866BB"/>
    <w:rsid w:val="001874B0"/>
    <w:rsid w:val="00187821"/>
    <w:rsid w:val="0019517D"/>
    <w:rsid w:val="00195422"/>
    <w:rsid w:val="00197813"/>
    <w:rsid w:val="00197CC3"/>
    <w:rsid w:val="001A0984"/>
    <w:rsid w:val="001A14C2"/>
    <w:rsid w:val="001A1CAD"/>
    <w:rsid w:val="001A2BCE"/>
    <w:rsid w:val="001A3085"/>
    <w:rsid w:val="001A36F9"/>
    <w:rsid w:val="001A3833"/>
    <w:rsid w:val="001A4FEF"/>
    <w:rsid w:val="001A5E39"/>
    <w:rsid w:val="001A66A6"/>
    <w:rsid w:val="001B00E5"/>
    <w:rsid w:val="001B05AB"/>
    <w:rsid w:val="001B0D71"/>
    <w:rsid w:val="001B1144"/>
    <w:rsid w:val="001B58BD"/>
    <w:rsid w:val="001B6981"/>
    <w:rsid w:val="001C0170"/>
    <w:rsid w:val="001C145E"/>
    <w:rsid w:val="001C1847"/>
    <w:rsid w:val="001C1DC9"/>
    <w:rsid w:val="001C1E46"/>
    <w:rsid w:val="001C55B6"/>
    <w:rsid w:val="001C67B7"/>
    <w:rsid w:val="001C7D83"/>
    <w:rsid w:val="001D1766"/>
    <w:rsid w:val="001D3CE9"/>
    <w:rsid w:val="001D4134"/>
    <w:rsid w:val="001D4345"/>
    <w:rsid w:val="001D4FE9"/>
    <w:rsid w:val="001D712E"/>
    <w:rsid w:val="001D73EC"/>
    <w:rsid w:val="001E0D6B"/>
    <w:rsid w:val="001E25D6"/>
    <w:rsid w:val="001E3DFF"/>
    <w:rsid w:val="001E598D"/>
    <w:rsid w:val="001E5FA6"/>
    <w:rsid w:val="001E6528"/>
    <w:rsid w:val="001E6CB1"/>
    <w:rsid w:val="001F09BB"/>
    <w:rsid w:val="001F15C3"/>
    <w:rsid w:val="001F1B33"/>
    <w:rsid w:val="001F34E1"/>
    <w:rsid w:val="001F42A5"/>
    <w:rsid w:val="001F44CD"/>
    <w:rsid w:val="001F5E50"/>
    <w:rsid w:val="001F6139"/>
    <w:rsid w:val="001F6325"/>
    <w:rsid w:val="002003EF"/>
    <w:rsid w:val="00201ABD"/>
    <w:rsid w:val="0020245C"/>
    <w:rsid w:val="00202998"/>
    <w:rsid w:val="002038A6"/>
    <w:rsid w:val="00205308"/>
    <w:rsid w:val="002054EE"/>
    <w:rsid w:val="00205DD3"/>
    <w:rsid w:val="00212BFD"/>
    <w:rsid w:val="00213226"/>
    <w:rsid w:val="002132CE"/>
    <w:rsid w:val="00214A40"/>
    <w:rsid w:val="0021558C"/>
    <w:rsid w:val="00215851"/>
    <w:rsid w:val="002173D2"/>
    <w:rsid w:val="00220A61"/>
    <w:rsid w:val="002210FD"/>
    <w:rsid w:val="002214D8"/>
    <w:rsid w:val="00221FC4"/>
    <w:rsid w:val="0022367F"/>
    <w:rsid w:val="00224779"/>
    <w:rsid w:val="002250CF"/>
    <w:rsid w:val="00226052"/>
    <w:rsid w:val="00226E85"/>
    <w:rsid w:val="00227B41"/>
    <w:rsid w:val="0023002E"/>
    <w:rsid w:val="002314E3"/>
    <w:rsid w:val="002349F6"/>
    <w:rsid w:val="002445BA"/>
    <w:rsid w:val="00244E69"/>
    <w:rsid w:val="002469E7"/>
    <w:rsid w:val="0025082C"/>
    <w:rsid w:val="0025162C"/>
    <w:rsid w:val="00251946"/>
    <w:rsid w:val="0025248C"/>
    <w:rsid w:val="00254852"/>
    <w:rsid w:val="00254C7A"/>
    <w:rsid w:val="00255299"/>
    <w:rsid w:val="0025596D"/>
    <w:rsid w:val="002575C8"/>
    <w:rsid w:val="0025762E"/>
    <w:rsid w:val="002603ED"/>
    <w:rsid w:val="00260684"/>
    <w:rsid w:val="00261ACB"/>
    <w:rsid w:val="00261B8D"/>
    <w:rsid w:val="00261EB8"/>
    <w:rsid w:val="0026400A"/>
    <w:rsid w:val="002645B3"/>
    <w:rsid w:val="002673E6"/>
    <w:rsid w:val="00267784"/>
    <w:rsid w:val="0027138C"/>
    <w:rsid w:val="0028020C"/>
    <w:rsid w:val="00280A36"/>
    <w:rsid w:val="002811AC"/>
    <w:rsid w:val="00282554"/>
    <w:rsid w:val="0028318A"/>
    <w:rsid w:val="0028382C"/>
    <w:rsid w:val="00284931"/>
    <w:rsid w:val="00285BE5"/>
    <w:rsid w:val="0028602C"/>
    <w:rsid w:val="00286668"/>
    <w:rsid w:val="00286818"/>
    <w:rsid w:val="00290296"/>
    <w:rsid w:val="0029033A"/>
    <w:rsid w:val="002905EE"/>
    <w:rsid w:val="002912CC"/>
    <w:rsid w:val="002918AD"/>
    <w:rsid w:val="00291A33"/>
    <w:rsid w:val="00291CA7"/>
    <w:rsid w:val="00292AE4"/>
    <w:rsid w:val="0029306D"/>
    <w:rsid w:val="002938C8"/>
    <w:rsid w:val="002940B6"/>
    <w:rsid w:val="00295323"/>
    <w:rsid w:val="002955DD"/>
    <w:rsid w:val="00295D56"/>
    <w:rsid w:val="00296B26"/>
    <w:rsid w:val="002A0C80"/>
    <w:rsid w:val="002A68C1"/>
    <w:rsid w:val="002A7A50"/>
    <w:rsid w:val="002A7BDA"/>
    <w:rsid w:val="002B00EE"/>
    <w:rsid w:val="002B1182"/>
    <w:rsid w:val="002B127D"/>
    <w:rsid w:val="002B2034"/>
    <w:rsid w:val="002B2457"/>
    <w:rsid w:val="002B301C"/>
    <w:rsid w:val="002B37B4"/>
    <w:rsid w:val="002B3857"/>
    <w:rsid w:val="002B4567"/>
    <w:rsid w:val="002B5AAE"/>
    <w:rsid w:val="002B5BB8"/>
    <w:rsid w:val="002B6609"/>
    <w:rsid w:val="002C0F16"/>
    <w:rsid w:val="002C15EB"/>
    <w:rsid w:val="002C1902"/>
    <w:rsid w:val="002C210D"/>
    <w:rsid w:val="002C258D"/>
    <w:rsid w:val="002C341D"/>
    <w:rsid w:val="002C3644"/>
    <w:rsid w:val="002C3D0E"/>
    <w:rsid w:val="002C47CE"/>
    <w:rsid w:val="002C7D83"/>
    <w:rsid w:val="002D476D"/>
    <w:rsid w:val="002D5D89"/>
    <w:rsid w:val="002D7AFF"/>
    <w:rsid w:val="002E0094"/>
    <w:rsid w:val="002E4C36"/>
    <w:rsid w:val="002E5899"/>
    <w:rsid w:val="002F09C8"/>
    <w:rsid w:val="002F2BA6"/>
    <w:rsid w:val="002F6279"/>
    <w:rsid w:val="002F666A"/>
    <w:rsid w:val="002F6847"/>
    <w:rsid w:val="002F6CB6"/>
    <w:rsid w:val="002F7028"/>
    <w:rsid w:val="00301AF9"/>
    <w:rsid w:val="0030321A"/>
    <w:rsid w:val="003035AE"/>
    <w:rsid w:val="003068D2"/>
    <w:rsid w:val="00306951"/>
    <w:rsid w:val="00307F2D"/>
    <w:rsid w:val="00313442"/>
    <w:rsid w:val="00314C65"/>
    <w:rsid w:val="00322AB5"/>
    <w:rsid w:val="00322BD5"/>
    <w:rsid w:val="00323864"/>
    <w:rsid w:val="0032394E"/>
    <w:rsid w:val="003257CB"/>
    <w:rsid w:val="00325898"/>
    <w:rsid w:val="003264DE"/>
    <w:rsid w:val="00326B04"/>
    <w:rsid w:val="0032760F"/>
    <w:rsid w:val="00330780"/>
    <w:rsid w:val="00331321"/>
    <w:rsid w:val="00332912"/>
    <w:rsid w:val="003340A4"/>
    <w:rsid w:val="00340FC3"/>
    <w:rsid w:val="00341B6D"/>
    <w:rsid w:val="003437E4"/>
    <w:rsid w:val="003442DF"/>
    <w:rsid w:val="00345A36"/>
    <w:rsid w:val="00347248"/>
    <w:rsid w:val="00350746"/>
    <w:rsid w:val="00350F88"/>
    <w:rsid w:val="0035206E"/>
    <w:rsid w:val="00357A6B"/>
    <w:rsid w:val="00357AB8"/>
    <w:rsid w:val="003608C4"/>
    <w:rsid w:val="0036180B"/>
    <w:rsid w:val="003618AF"/>
    <w:rsid w:val="00363715"/>
    <w:rsid w:val="0036410B"/>
    <w:rsid w:val="00364775"/>
    <w:rsid w:val="003656C6"/>
    <w:rsid w:val="00365DA9"/>
    <w:rsid w:val="00372C10"/>
    <w:rsid w:val="00373DFE"/>
    <w:rsid w:val="00374F70"/>
    <w:rsid w:val="00376D18"/>
    <w:rsid w:val="00377162"/>
    <w:rsid w:val="003771FF"/>
    <w:rsid w:val="0038195D"/>
    <w:rsid w:val="00383BD4"/>
    <w:rsid w:val="00383F92"/>
    <w:rsid w:val="00385CDD"/>
    <w:rsid w:val="00387F00"/>
    <w:rsid w:val="00390B00"/>
    <w:rsid w:val="0039202C"/>
    <w:rsid w:val="00392139"/>
    <w:rsid w:val="00394ECB"/>
    <w:rsid w:val="003958AA"/>
    <w:rsid w:val="003967FE"/>
    <w:rsid w:val="003A01D6"/>
    <w:rsid w:val="003A0316"/>
    <w:rsid w:val="003A09A3"/>
    <w:rsid w:val="003A1D29"/>
    <w:rsid w:val="003A2B1C"/>
    <w:rsid w:val="003A38FF"/>
    <w:rsid w:val="003A62C5"/>
    <w:rsid w:val="003A6A7B"/>
    <w:rsid w:val="003A7A02"/>
    <w:rsid w:val="003B1066"/>
    <w:rsid w:val="003B2214"/>
    <w:rsid w:val="003B46F2"/>
    <w:rsid w:val="003B50E3"/>
    <w:rsid w:val="003B5168"/>
    <w:rsid w:val="003B5752"/>
    <w:rsid w:val="003B5E32"/>
    <w:rsid w:val="003B719D"/>
    <w:rsid w:val="003C1294"/>
    <w:rsid w:val="003C5A50"/>
    <w:rsid w:val="003C5EB9"/>
    <w:rsid w:val="003C6396"/>
    <w:rsid w:val="003D2901"/>
    <w:rsid w:val="003D3A40"/>
    <w:rsid w:val="003D3E86"/>
    <w:rsid w:val="003D3ED8"/>
    <w:rsid w:val="003D49A5"/>
    <w:rsid w:val="003D5E20"/>
    <w:rsid w:val="003D6457"/>
    <w:rsid w:val="003E0343"/>
    <w:rsid w:val="003E22BD"/>
    <w:rsid w:val="003E24FD"/>
    <w:rsid w:val="003E27ED"/>
    <w:rsid w:val="003E2BDF"/>
    <w:rsid w:val="003E328E"/>
    <w:rsid w:val="003E3DE9"/>
    <w:rsid w:val="003E5783"/>
    <w:rsid w:val="003E64BC"/>
    <w:rsid w:val="003E7472"/>
    <w:rsid w:val="003F0253"/>
    <w:rsid w:val="003F7B57"/>
    <w:rsid w:val="004020A4"/>
    <w:rsid w:val="0040433F"/>
    <w:rsid w:val="00405099"/>
    <w:rsid w:val="00406436"/>
    <w:rsid w:val="00410B8C"/>
    <w:rsid w:val="00412750"/>
    <w:rsid w:val="00412C58"/>
    <w:rsid w:val="00412ED6"/>
    <w:rsid w:val="00413832"/>
    <w:rsid w:val="004142D5"/>
    <w:rsid w:val="00414EA8"/>
    <w:rsid w:val="0041568F"/>
    <w:rsid w:val="00415979"/>
    <w:rsid w:val="0041773B"/>
    <w:rsid w:val="00417FAA"/>
    <w:rsid w:val="0042164E"/>
    <w:rsid w:val="00423902"/>
    <w:rsid w:val="00426B03"/>
    <w:rsid w:val="00426F04"/>
    <w:rsid w:val="00426F0B"/>
    <w:rsid w:val="004273D0"/>
    <w:rsid w:val="0042779F"/>
    <w:rsid w:val="00431411"/>
    <w:rsid w:val="00431426"/>
    <w:rsid w:val="00431AC2"/>
    <w:rsid w:val="00432BF2"/>
    <w:rsid w:val="0043346C"/>
    <w:rsid w:val="004352A9"/>
    <w:rsid w:val="0043533A"/>
    <w:rsid w:val="004360A5"/>
    <w:rsid w:val="004370A2"/>
    <w:rsid w:val="00440349"/>
    <w:rsid w:val="004403DF"/>
    <w:rsid w:val="004410E9"/>
    <w:rsid w:val="00442985"/>
    <w:rsid w:val="0044530C"/>
    <w:rsid w:val="0044575F"/>
    <w:rsid w:val="004466A2"/>
    <w:rsid w:val="00451845"/>
    <w:rsid w:val="00453D17"/>
    <w:rsid w:val="00453D86"/>
    <w:rsid w:val="00454ABE"/>
    <w:rsid w:val="004550C4"/>
    <w:rsid w:val="00455A03"/>
    <w:rsid w:val="004573B7"/>
    <w:rsid w:val="00460A15"/>
    <w:rsid w:val="004621A0"/>
    <w:rsid w:val="004624E8"/>
    <w:rsid w:val="00463286"/>
    <w:rsid w:val="00463F9D"/>
    <w:rsid w:val="0046400A"/>
    <w:rsid w:val="00464085"/>
    <w:rsid w:val="004643C7"/>
    <w:rsid w:val="004647EC"/>
    <w:rsid w:val="004652D9"/>
    <w:rsid w:val="00465E99"/>
    <w:rsid w:val="00470F4E"/>
    <w:rsid w:val="004721DF"/>
    <w:rsid w:val="0047371F"/>
    <w:rsid w:val="00473E81"/>
    <w:rsid w:val="004746CA"/>
    <w:rsid w:val="00475BE2"/>
    <w:rsid w:val="00475F02"/>
    <w:rsid w:val="004770A5"/>
    <w:rsid w:val="00480105"/>
    <w:rsid w:val="00483AA1"/>
    <w:rsid w:val="00485446"/>
    <w:rsid w:val="0048572C"/>
    <w:rsid w:val="004859E8"/>
    <w:rsid w:val="00485BB8"/>
    <w:rsid w:val="00490665"/>
    <w:rsid w:val="00490949"/>
    <w:rsid w:val="00491122"/>
    <w:rsid w:val="00491FF9"/>
    <w:rsid w:val="004934B4"/>
    <w:rsid w:val="00493B32"/>
    <w:rsid w:val="00495E9A"/>
    <w:rsid w:val="004A1FFE"/>
    <w:rsid w:val="004A2321"/>
    <w:rsid w:val="004A24D4"/>
    <w:rsid w:val="004A3438"/>
    <w:rsid w:val="004A4119"/>
    <w:rsid w:val="004A4E0F"/>
    <w:rsid w:val="004A59BB"/>
    <w:rsid w:val="004A5DBF"/>
    <w:rsid w:val="004A7426"/>
    <w:rsid w:val="004B00E3"/>
    <w:rsid w:val="004B2F2C"/>
    <w:rsid w:val="004B33CD"/>
    <w:rsid w:val="004B4DC0"/>
    <w:rsid w:val="004B58A7"/>
    <w:rsid w:val="004B7063"/>
    <w:rsid w:val="004B765B"/>
    <w:rsid w:val="004C0045"/>
    <w:rsid w:val="004C174C"/>
    <w:rsid w:val="004C1DCE"/>
    <w:rsid w:val="004C2BAC"/>
    <w:rsid w:val="004C2D89"/>
    <w:rsid w:val="004C3867"/>
    <w:rsid w:val="004C46E0"/>
    <w:rsid w:val="004C49C6"/>
    <w:rsid w:val="004C62F5"/>
    <w:rsid w:val="004C7364"/>
    <w:rsid w:val="004D17B3"/>
    <w:rsid w:val="004D19B8"/>
    <w:rsid w:val="004D49DF"/>
    <w:rsid w:val="004D4A72"/>
    <w:rsid w:val="004D6FFD"/>
    <w:rsid w:val="004D713A"/>
    <w:rsid w:val="004E12E8"/>
    <w:rsid w:val="004E5948"/>
    <w:rsid w:val="004E6B1F"/>
    <w:rsid w:val="004E77FB"/>
    <w:rsid w:val="004F218A"/>
    <w:rsid w:val="004F3FE9"/>
    <w:rsid w:val="004F6439"/>
    <w:rsid w:val="004F6559"/>
    <w:rsid w:val="00502367"/>
    <w:rsid w:val="005028DD"/>
    <w:rsid w:val="005066C7"/>
    <w:rsid w:val="00507FB4"/>
    <w:rsid w:val="00510176"/>
    <w:rsid w:val="005124DB"/>
    <w:rsid w:val="00512855"/>
    <w:rsid w:val="0051296C"/>
    <w:rsid w:val="00512CDB"/>
    <w:rsid w:val="00514993"/>
    <w:rsid w:val="00517004"/>
    <w:rsid w:val="0052165C"/>
    <w:rsid w:val="005216E0"/>
    <w:rsid w:val="00522551"/>
    <w:rsid w:val="00523714"/>
    <w:rsid w:val="005241A0"/>
    <w:rsid w:val="00524712"/>
    <w:rsid w:val="00526356"/>
    <w:rsid w:val="00526B87"/>
    <w:rsid w:val="00527B3C"/>
    <w:rsid w:val="005320E1"/>
    <w:rsid w:val="00534337"/>
    <w:rsid w:val="00534A44"/>
    <w:rsid w:val="0053581A"/>
    <w:rsid w:val="00535845"/>
    <w:rsid w:val="00536988"/>
    <w:rsid w:val="00542A2E"/>
    <w:rsid w:val="0054345D"/>
    <w:rsid w:val="005438AB"/>
    <w:rsid w:val="00543991"/>
    <w:rsid w:val="005457DC"/>
    <w:rsid w:val="00546CDC"/>
    <w:rsid w:val="0054733E"/>
    <w:rsid w:val="00547791"/>
    <w:rsid w:val="00547E51"/>
    <w:rsid w:val="00550DD1"/>
    <w:rsid w:val="00550F8A"/>
    <w:rsid w:val="0055349C"/>
    <w:rsid w:val="0055382E"/>
    <w:rsid w:val="00554120"/>
    <w:rsid w:val="00556022"/>
    <w:rsid w:val="005613E1"/>
    <w:rsid w:val="00564C73"/>
    <w:rsid w:val="00564D7A"/>
    <w:rsid w:val="00566147"/>
    <w:rsid w:val="0056723B"/>
    <w:rsid w:val="00567317"/>
    <w:rsid w:val="005724B9"/>
    <w:rsid w:val="005727F4"/>
    <w:rsid w:val="005732EA"/>
    <w:rsid w:val="0057727A"/>
    <w:rsid w:val="005856AB"/>
    <w:rsid w:val="0058727B"/>
    <w:rsid w:val="00587D41"/>
    <w:rsid w:val="00590047"/>
    <w:rsid w:val="005908F2"/>
    <w:rsid w:val="00590943"/>
    <w:rsid w:val="00591027"/>
    <w:rsid w:val="00591633"/>
    <w:rsid w:val="005921FE"/>
    <w:rsid w:val="005958A3"/>
    <w:rsid w:val="00597593"/>
    <w:rsid w:val="005A0268"/>
    <w:rsid w:val="005A0954"/>
    <w:rsid w:val="005A169F"/>
    <w:rsid w:val="005A2A92"/>
    <w:rsid w:val="005B3144"/>
    <w:rsid w:val="005B3A49"/>
    <w:rsid w:val="005B5BAE"/>
    <w:rsid w:val="005B6896"/>
    <w:rsid w:val="005C1C14"/>
    <w:rsid w:val="005C204B"/>
    <w:rsid w:val="005C4019"/>
    <w:rsid w:val="005C536F"/>
    <w:rsid w:val="005C75DE"/>
    <w:rsid w:val="005D3024"/>
    <w:rsid w:val="005D4388"/>
    <w:rsid w:val="005D44D2"/>
    <w:rsid w:val="005D5BE7"/>
    <w:rsid w:val="005D7D14"/>
    <w:rsid w:val="005E714D"/>
    <w:rsid w:val="005E7EFB"/>
    <w:rsid w:val="005F32DD"/>
    <w:rsid w:val="005F3A5F"/>
    <w:rsid w:val="005F48AB"/>
    <w:rsid w:val="005F4AC0"/>
    <w:rsid w:val="005F6D66"/>
    <w:rsid w:val="006013FE"/>
    <w:rsid w:val="00602BF3"/>
    <w:rsid w:val="00604AF0"/>
    <w:rsid w:val="00604D06"/>
    <w:rsid w:val="0060593F"/>
    <w:rsid w:val="00607B74"/>
    <w:rsid w:val="00610918"/>
    <w:rsid w:val="00611FF2"/>
    <w:rsid w:val="0061696C"/>
    <w:rsid w:val="00616BA7"/>
    <w:rsid w:val="006212FF"/>
    <w:rsid w:val="00621DE5"/>
    <w:rsid w:val="00622EA3"/>
    <w:rsid w:val="00623110"/>
    <w:rsid w:val="006231E1"/>
    <w:rsid w:val="00623275"/>
    <w:rsid w:val="00625BDB"/>
    <w:rsid w:val="00626055"/>
    <w:rsid w:val="00627360"/>
    <w:rsid w:val="006275E8"/>
    <w:rsid w:val="00627D1A"/>
    <w:rsid w:val="00630303"/>
    <w:rsid w:val="006335A2"/>
    <w:rsid w:val="0063495E"/>
    <w:rsid w:val="00634C63"/>
    <w:rsid w:val="00635142"/>
    <w:rsid w:val="00635DE3"/>
    <w:rsid w:val="00636761"/>
    <w:rsid w:val="006369F8"/>
    <w:rsid w:val="00637410"/>
    <w:rsid w:val="00641089"/>
    <w:rsid w:val="00645A53"/>
    <w:rsid w:val="00646272"/>
    <w:rsid w:val="006500E8"/>
    <w:rsid w:val="00651A7D"/>
    <w:rsid w:val="006540ED"/>
    <w:rsid w:val="00654B6D"/>
    <w:rsid w:val="00654E6C"/>
    <w:rsid w:val="00654F6C"/>
    <w:rsid w:val="00656CFF"/>
    <w:rsid w:val="0065766F"/>
    <w:rsid w:val="00660E10"/>
    <w:rsid w:val="00663C44"/>
    <w:rsid w:val="00664B98"/>
    <w:rsid w:val="00666A6F"/>
    <w:rsid w:val="006676EE"/>
    <w:rsid w:val="00670946"/>
    <w:rsid w:val="00670DA5"/>
    <w:rsid w:val="006711A8"/>
    <w:rsid w:val="0067178C"/>
    <w:rsid w:val="0067378A"/>
    <w:rsid w:val="00674139"/>
    <w:rsid w:val="0067507A"/>
    <w:rsid w:val="006756E8"/>
    <w:rsid w:val="006758A6"/>
    <w:rsid w:val="00675D6C"/>
    <w:rsid w:val="00680351"/>
    <w:rsid w:val="006815C5"/>
    <w:rsid w:val="00681BC5"/>
    <w:rsid w:val="00683B9B"/>
    <w:rsid w:val="00684F77"/>
    <w:rsid w:val="00685DC5"/>
    <w:rsid w:val="006861E7"/>
    <w:rsid w:val="00686752"/>
    <w:rsid w:val="006871D6"/>
    <w:rsid w:val="00691836"/>
    <w:rsid w:val="006920D1"/>
    <w:rsid w:val="006927B0"/>
    <w:rsid w:val="00692FFD"/>
    <w:rsid w:val="0069357B"/>
    <w:rsid w:val="00694D1D"/>
    <w:rsid w:val="00695D57"/>
    <w:rsid w:val="006974BF"/>
    <w:rsid w:val="00697900"/>
    <w:rsid w:val="00697B7C"/>
    <w:rsid w:val="00697CE5"/>
    <w:rsid w:val="006A050E"/>
    <w:rsid w:val="006A299F"/>
    <w:rsid w:val="006A2D0E"/>
    <w:rsid w:val="006A3972"/>
    <w:rsid w:val="006A3CFD"/>
    <w:rsid w:val="006A6EA0"/>
    <w:rsid w:val="006A7CA6"/>
    <w:rsid w:val="006B0EB5"/>
    <w:rsid w:val="006B2739"/>
    <w:rsid w:val="006B3712"/>
    <w:rsid w:val="006B3D4E"/>
    <w:rsid w:val="006B3F46"/>
    <w:rsid w:val="006B7539"/>
    <w:rsid w:val="006C1400"/>
    <w:rsid w:val="006C2B8F"/>
    <w:rsid w:val="006C30AE"/>
    <w:rsid w:val="006C7931"/>
    <w:rsid w:val="006D0391"/>
    <w:rsid w:val="006D0717"/>
    <w:rsid w:val="006D1D44"/>
    <w:rsid w:val="006D2100"/>
    <w:rsid w:val="006D2710"/>
    <w:rsid w:val="006D2E40"/>
    <w:rsid w:val="006D3E3B"/>
    <w:rsid w:val="006D4B3C"/>
    <w:rsid w:val="006D5E57"/>
    <w:rsid w:val="006D6294"/>
    <w:rsid w:val="006D7AE8"/>
    <w:rsid w:val="006E1093"/>
    <w:rsid w:val="006E2487"/>
    <w:rsid w:val="006E30FD"/>
    <w:rsid w:val="006E42C5"/>
    <w:rsid w:val="006E4EE3"/>
    <w:rsid w:val="006E501A"/>
    <w:rsid w:val="006E54B7"/>
    <w:rsid w:val="006E55D8"/>
    <w:rsid w:val="006E66EC"/>
    <w:rsid w:val="006F08BC"/>
    <w:rsid w:val="006F3BC2"/>
    <w:rsid w:val="006F3F8C"/>
    <w:rsid w:val="006F4B4B"/>
    <w:rsid w:val="006F4C33"/>
    <w:rsid w:val="006F785A"/>
    <w:rsid w:val="006F7CCE"/>
    <w:rsid w:val="0070180B"/>
    <w:rsid w:val="00701896"/>
    <w:rsid w:val="007019E2"/>
    <w:rsid w:val="00702395"/>
    <w:rsid w:val="007023A7"/>
    <w:rsid w:val="00703804"/>
    <w:rsid w:val="0070415B"/>
    <w:rsid w:val="00704A36"/>
    <w:rsid w:val="007051F6"/>
    <w:rsid w:val="00705287"/>
    <w:rsid w:val="00705559"/>
    <w:rsid w:val="00707597"/>
    <w:rsid w:val="00710BFD"/>
    <w:rsid w:val="00711972"/>
    <w:rsid w:val="00711CC1"/>
    <w:rsid w:val="007133E9"/>
    <w:rsid w:val="007170BC"/>
    <w:rsid w:val="00717A6D"/>
    <w:rsid w:val="00721239"/>
    <w:rsid w:val="007232E3"/>
    <w:rsid w:val="007238AD"/>
    <w:rsid w:val="00723DBE"/>
    <w:rsid w:val="00724703"/>
    <w:rsid w:val="00725521"/>
    <w:rsid w:val="00725C5A"/>
    <w:rsid w:val="007300FE"/>
    <w:rsid w:val="00730EF9"/>
    <w:rsid w:val="00735E9D"/>
    <w:rsid w:val="00737435"/>
    <w:rsid w:val="00737AA6"/>
    <w:rsid w:val="00737DEC"/>
    <w:rsid w:val="00740EB9"/>
    <w:rsid w:val="00741ABD"/>
    <w:rsid w:val="00741D73"/>
    <w:rsid w:val="00744363"/>
    <w:rsid w:val="00745648"/>
    <w:rsid w:val="00745F45"/>
    <w:rsid w:val="00746AF3"/>
    <w:rsid w:val="00746FC8"/>
    <w:rsid w:val="007474AD"/>
    <w:rsid w:val="00750073"/>
    <w:rsid w:val="007516A7"/>
    <w:rsid w:val="00751A9B"/>
    <w:rsid w:val="0075300D"/>
    <w:rsid w:val="00755DE8"/>
    <w:rsid w:val="007570C1"/>
    <w:rsid w:val="007578BE"/>
    <w:rsid w:val="007579E7"/>
    <w:rsid w:val="00761752"/>
    <w:rsid w:val="00762365"/>
    <w:rsid w:val="00764D43"/>
    <w:rsid w:val="007676AC"/>
    <w:rsid w:val="0077075E"/>
    <w:rsid w:val="00770953"/>
    <w:rsid w:val="007713CC"/>
    <w:rsid w:val="007717E3"/>
    <w:rsid w:val="00777D85"/>
    <w:rsid w:val="007846EF"/>
    <w:rsid w:val="00786E8F"/>
    <w:rsid w:val="00791538"/>
    <w:rsid w:val="007937C6"/>
    <w:rsid w:val="00793D07"/>
    <w:rsid w:val="00794CFE"/>
    <w:rsid w:val="00797AB4"/>
    <w:rsid w:val="00797DCB"/>
    <w:rsid w:val="007A0956"/>
    <w:rsid w:val="007A41F5"/>
    <w:rsid w:val="007A5465"/>
    <w:rsid w:val="007A5ADD"/>
    <w:rsid w:val="007A5D00"/>
    <w:rsid w:val="007A5F5C"/>
    <w:rsid w:val="007A7CF9"/>
    <w:rsid w:val="007A7F0A"/>
    <w:rsid w:val="007B2C2C"/>
    <w:rsid w:val="007B432C"/>
    <w:rsid w:val="007B4FA8"/>
    <w:rsid w:val="007B5C7C"/>
    <w:rsid w:val="007B6CAC"/>
    <w:rsid w:val="007C0E3A"/>
    <w:rsid w:val="007C1EED"/>
    <w:rsid w:val="007C398F"/>
    <w:rsid w:val="007C4D36"/>
    <w:rsid w:val="007C7FAD"/>
    <w:rsid w:val="007D00B8"/>
    <w:rsid w:val="007D0331"/>
    <w:rsid w:val="007D0C3B"/>
    <w:rsid w:val="007D286A"/>
    <w:rsid w:val="007D721B"/>
    <w:rsid w:val="007E0CCF"/>
    <w:rsid w:val="007E1E4F"/>
    <w:rsid w:val="007E2193"/>
    <w:rsid w:val="007E2D1D"/>
    <w:rsid w:val="007E32AC"/>
    <w:rsid w:val="007E3DEB"/>
    <w:rsid w:val="007E4139"/>
    <w:rsid w:val="007E41C5"/>
    <w:rsid w:val="007E59CA"/>
    <w:rsid w:val="007E5C2D"/>
    <w:rsid w:val="007E6014"/>
    <w:rsid w:val="007F432C"/>
    <w:rsid w:val="007F4952"/>
    <w:rsid w:val="008015FE"/>
    <w:rsid w:val="008018AF"/>
    <w:rsid w:val="008019C7"/>
    <w:rsid w:val="00801E08"/>
    <w:rsid w:val="0080218F"/>
    <w:rsid w:val="00802DB4"/>
    <w:rsid w:val="00804B48"/>
    <w:rsid w:val="008118FF"/>
    <w:rsid w:val="0081340E"/>
    <w:rsid w:val="00816C4D"/>
    <w:rsid w:val="00817CE3"/>
    <w:rsid w:val="00817F71"/>
    <w:rsid w:val="0082033C"/>
    <w:rsid w:val="008216E8"/>
    <w:rsid w:val="00822F97"/>
    <w:rsid w:val="0082551E"/>
    <w:rsid w:val="00827CE1"/>
    <w:rsid w:val="0083080F"/>
    <w:rsid w:val="00831ED5"/>
    <w:rsid w:val="00832E88"/>
    <w:rsid w:val="00834C02"/>
    <w:rsid w:val="00835006"/>
    <w:rsid w:val="00837D4A"/>
    <w:rsid w:val="008412BC"/>
    <w:rsid w:val="008416D9"/>
    <w:rsid w:val="0084251B"/>
    <w:rsid w:val="00842A36"/>
    <w:rsid w:val="00842BE6"/>
    <w:rsid w:val="00842FB8"/>
    <w:rsid w:val="00845F9F"/>
    <w:rsid w:val="00846CB5"/>
    <w:rsid w:val="00846FD9"/>
    <w:rsid w:val="008506BA"/>
    <w:rsid w:val="00850E95"/>
    <w:rsid w:val="00851578"/>
    <w:rsid w:val="00851D61"/>
    <w:rsid w:val="0085291A"/>
    <w:rsid w:val="0085312A"/>
    <w:rsid w:val="00854A41"/>
    <w:rsid w:val="008563C4"/>
    <w:rsid w:val="008622E3"/>
    <w:rsid w:val="008630DE"/>
    <w:rsid w:val="0086461B"/>
    <w:rsid w:val="00864F91"/>
    <w:rsid w:val="008651ED"/>
    <w:rsid w:val="008675BB"/>
    <w:rsid w:val="00871212"/>
    <w:rsid w:val="00872404"/>
    <w:rsid w:val="008729A0"/>
    <w:rsid w:val="00875A59"/>
    <w:rsid w:val="00875D0F"/>
    <w:rsid w:val="008765E7"/>
    <w:rsid w:val="00877B39"/>
    <w:rsid w:val="00881F4C"/>
    <w:rsid w:val="0088363C"/>
    <w:rsid w:val="00885EF6"/>
    <w:rsid w:val="00891004"/>
    <w:rsid w:val="00891462"/>
    <w:rsid w:val="008917EF"/>
    <w:rsid w:val="008918DC"/>
    <w:rsid w:val="00891C19"/>
    <w:rsid w:val="008922B8"/>
    <w:rsid w:val="00892CFC"/>
    <w:rsid w:val="00892E8F"/>
    <w:rsid w:val="00893337"/>
    <w:rsid w:val="00894415"/>
    <w:rsid w:val="0089558E"/>
    <w:rsid w:val="00897F4B"/>
    <w:rsid w:val="008A0F8C"/>
    <w:rsid w:val="008A23F3"/>
    <w:rsid w:val="008A58D6"/>
    <w:rsid w:val="008A6F86"/>
    <w:rsid w:val="008A779B"/>
    <w:rsid w:val="008B4EEF"/>
    <w:rsid w:val="008B5BD2"/>
    <w:rsid w:val="008B5EE3"/>
    <w:rsid w:val="008B61CC"/>
    <w:rsid w:val="008B71C8"/>
    <w:rsid w:val="008C1265"/>
    <w:rsid w:val="008C2DB2"/>
    <w:rsid w:val="008C46C1"/>
    <w:rsid w:val="008C57A8"/>
    <w:rsid w:val="008C74BA"/>
    <w:rsid w:val="008D06EA"/>
    <w:rsid w:val="008D17A5"/>
    <w:rsid w:val="008D28A1"/>
    <w:rsid w:val="008D3A9D"/>
    <w:rsid w:val="008D3FFD"/>
    <w:rsid w:val="008D6750"/>
    <w:rsid w:val="008D7145"/>
    <w:rsid w:val="008E1AEF"/>
    <w:rsid w:val="008E3329"/>
    <w:rsid w:val="008E35DF"/>
    <w:rsid w:val="008E7DBC"/>
    <w:rsid w:val="008F06A2"/>
    <w:rsid w:val="008F5142"/>
    <w:rsid w:val="008F6ACF"/>
    <w:rsid w:val="008F74BF"/>
    <w:rsid w:val="008F7773"/>
    <w:rsid w:val="008F7A18"/>
    <w:rsid w:val="008F7F4C"/>
    <w:rsid w:val="00900031"/>
    <w:rsid w:val="0090170D"/>
    <w:rsid w:val="009055C6"/>
    <w:rsid w:val="0090795A"/>
    <w:rsid w:val="00911BAB"/>
    <w:rsid w:val="00911D41"/>
    <w:rsid w:val="00913574"/>
    <w:rsid w:val="0091360F"/>
    <w:rsid w:val="0091394F"/>
    <w:rsid w:val="00913D77"/>
    <w:rsid w:val="00914191"/>
    <w:rsid w:val="00914C61"/>
    <w:rsid w:val="0091666F"/>
    <w:rsid w:val="009167A0"/>
    <w:rsid w:val="0091685B"/>
    <w:rsid w:val="009200A2"/>
    <w:rsid w:val="00920688"/>
    <w:rsid w:val="009227F0"/>
    <w:rsid w:val="00922964"/>
    <w:rsid w:val="00927AEE"/>
    <w:rsid w:val="009329FB"/>
    <w:rsid w:val="00934A4A"/>
    <w:rsid w:val="00934D51"/>
    <w:rsid w:val="00941FA6"/>
    <w:rsid w:val="00945379"/>
    <w:rsid w:val="009456A1"/>
    <w:rsid w:val="00945F33"/>
    <w:rsid w:val="009467E8"/>
    <w:rsid w:val="00947152"/>
    <w:rsid w:val="00950A2E"/>
    <w:rsid w:val="00951595"/>
    <w:rsid w:val="00952577"/>
    <w:rsid w:val="00954C95"/>
    <w:rsid w:val="00954DCD"/>
    <w:rsid w:val="0095581B"/>
    <w:rsid w:val="009568DE"/>
    <w:rsid w:val="00960CF4"/>
    <w:rsid w:val="0096109E"/>
    <w:rsid w:val="0096129A"/>
    <w:rsid w:val="009634A0"/>
    <w:rsid w:val="0097051F"/>
    <w:rsid w:val="00970B2F"/>
    <w:rsid w:val="00972EF7"/>
    <w:rsid w:val="00973D9D"/>
    <w:rsid w:val="00975511"/>
    <w:rsid w:val="00976A58"/>
    <w:rsid w:val="00981257"/>
    <w:rsid w:val="00983CD5"/>
    <w:rsid w:val="009849AC"/>
    <w:rsid w:val="00985440"/>
    <w:rsid w:val="009855BF"/>
    <w:rsid w:val="00985E48"/>
    <w:rsid w:val="0098709A"/>
    <w:rsid w:val="009870AF"/>
    <w:rsid w:val="00992AD1"/>
    <w:rsid w:val="009932CA"/>
    <w:rsid w:val="0099467F"/>
    <w:rsid w:val="00994CC0"/>
    <w:rsid w:val="00997570"/>
    <w:rsid w:val="009A029D"/>
    <w:rsid w:val="009A03F4"/>
    <w:rsid w:val="009A0B3D"/>
    <w:rsid w:val="009A1FC4"/>
    <w:rsid w:val="009A5376"/>
    <w:rsid w:val="009A7654"/>
    <w:rsid w:val="009B1EDB"/>
    <w:rsid w:val="009B2D5A"/>
    <w:rsid w:val="009B3DC1"/>
    <w:rsid w:val="009B4FCE"/>
    <w:rsid w:val="009C02DA"/>
    <w:rsid w:val="009C1580"/>
    <w:rsid w:val="009C4485"/>
    <w:rsid w:val="009D17A7"/>
    <w:rsid w:val="009D1F2C"/>
    <w:rsid w:val="009D2C78"/>
    <w:rsid w:val="009D32B6"/>
    <w:rsid w:val="009D503A"/>
    <w:rsid w:val="009D6B00"/>
    <w:rsid w:val="009D707C"/>
    <w:rsid w:val="009D7438"/>
    <w:rsid w:val="009E0951"/>
    <w:rsid w:val="009E0FF7"/>
    <w:rsid w:val="009E1274"/>
    <w:rsid w:val="009E1AC6"/>
    <w:rsid w:val="009E1FA8"/>
    <w:rsid w:val="009E2B03"/>
    <w:rsid w:val="009E36E0"/>
    <w:rsid w:val="009E3B35"/>
    <w:rsid w:val="009E3C50"/>
    <w:rsid w:val="009E63EA"/>
    <w:rsid w:val="009E69D6"/>
    <w:rsid w:val="009F050F"/>
    <w:rsid w:val="009F0E02"/>
    <w:rsid w:val="009F3158"/>
    <w:rsid w:val="009F58DA"/>
    <w:rsid w:val="009F5C55"/>
    <w:rsid w:val="009F69EC"/>
    <w:rsid w:val="009F6F39"/>
    <w:rsid w:val="009F7F1F"/>
    <w:rsid w:val="00A0052B"/>
    <w:rsid w:val="00A01EEB"/>
    <w:rsid w:val="00A023F8"/>
    <w:rsid w:val="00A0381A"/>
    <w:rsid w:val="00A06863"/>
    <w:rsid w:val="00A07541"/>
    <w:rsid w:val="00A07696"/>
    <w:rsid w:val="00A12486"/>
    <w:rsid w:val="00A13044"/>
    <w:rsid w:val="00A13F7E"/>
    <w:rsid w:val="00A1403F"/>
    <w:rsid w:val="00A16ACF"/>
    <w:rsid w:val="00A178B9"/>
    <w:rsid w:val="00A2167F"/>
    <w:rsid w:val="00A22671"/>
    <w:rsid w:val="00A27A84"/>
    <w:rsid w:val="00A3116C"/>
    <w:rsid w:val="00A31E9B"/>
    <w:rsid w:val="00A333DC"/>
    <w:rsid w:val="00A33E13"/>
    <w:rsid w:val="00A35A4B"/>
    <w:rsid w:val="00A4058E"/>
    <w:rsid w:val="00A40F7B"/>
    <w:rsid w:val="00A41420"/>
    <w:rsid w:val="00A427C2"/>
    <w:rsid w:val="00A43B69"/>
    <w:rsid w:val="00A44959"/>
    <w:rsid w:val="00A47F9E"/>
    <w:rsid w:val="00A522B9"/>
    <w:rsid w:val="00A536FE"/>
    <w:rsid w:val="00A53D31"/>
    <w:rsid w:val="00A5438B"/>
    <w:rsid w:val="00A5452D"/>
    <w:rsid w:val="00A56794"/>
    <w:rsid w:val="00A611B0"/>
    <w:rsid w:val="00A61C50"/>
    <w:rsid w:val="00A63B39"/>
    <w:rsid w:val="00A64ABF"/>
    <w:rsid w:val="00A65E3B"/>
    <w:rsid w:val="00A66135"/>
    <w:rsid w:val="00A66FD8"/>
    <w:rsid w:val="00A670A2"/>
    <w:rsid w:val="00A673EE"/>
    <w:rsid w:val="00A677AA"/>
    <w:rsid w:val="00A67A8E"/>
    <w:rsid w:val="00A7010C"/>
    <w:rsid w:val="00A705AB"/>
    <w:rsid w:val="00A70A6A"/>
    <w:rsid w:val="00A73B9B"/>
    <w:rsid w:val="00A73F8A"/>
    <w:rsid w:val="00A74F43"/>
    <w:rsid w:val="00A76032"/>
    <w:rsid w:val="00A761A1"/>
    <w:rsid w:val="00A76BE2"/>
    <w:rsid w:val="00A77063"/>
    <w:rsid w:val="00A8099D"/>
    <w:rsid w:val="00A81D62"/>
    <w:rsid w:val="00A82CF8"/>
    <w:rsid w:val="00A83416"/>
    <w:rsid w:val="00A836E4"/>
    <w:rsid w:val="00A84922"/>
    <w:rsid w:val="00A84A8A"/>
    <w:rsid w:val="00A85D34"/>
    <w:rsid w:val="00A86A62"/>
    <w:rsid w:val="00A90AE8"/>
    <w:rsid w:val="00A92A1D"/>
    <w:rsid w:val="00A96060"/>
    <w:rsid w:val="00A96296"/>
    <w:rsid w:val="00A971BB"/>
    <w:rsid w:val="00AA12BF"/>
    <w:rsid w:val="00AA1545"/>
    <w:rsid w:val="00AA2415"/>
    <w:rsid w:val="00AA2DCF"/>
    <w:rsid w:val="00AA579F"/>
    <w:rsid w:val="00AA7550"/>
    <w:rsid w:val="00AB03CC"/>
    <w:rsid w:val="00AB396F"/>
    <w:rsid w:val="00AB5AB3"/>
    <w:rsid w:val="00AB7088"/>
    <w:rsid w:val="00AC1799"/>
    <w:rsid w:val="00AC2AA2"/>
    <w:rsid w:val="00AC3CD0"/>
    <w:rsid w:val="00AC5DD6"/>
    <w:rsid w:val="00AC64B3"/>
    <w:rsid w:val="00AC7A1F"/>
    <w:rsid w:val="00AD0218"/>
    <w:rsid w:val="00AD24D5"/>
    <w:rsid w:val="00AD442D"/>
    <w:rsid w:val="00AD4813"/>
    <w:rsid w:val="00AD54E0"/>
    <w:rsid w:val="00AD5A35"/>
    <w:rsid w:val="00AD6106"/>
    <w:rsid w:val="00AE00D6"/>
    <w:rsid w:val="00AE1F2E"/>
    <w:rsid w:val="00AE2D14"/>
    <w:rsid w:val="00AE38CF"/>
    <w:rsid w:val="00AE4483"/>
    <w:rsid w:val="00AE7240"/>
    <w:rsid w:val="00AF07D4"/>
    <w:rsid w:val="00AF1E27"/>
    <w:rsid w:val="00AF2550"/>
    <w:rsid w:val="00AF39EE"/>
    <w:rsid w:val="00AF4672"/>
    <w:rsid w:val="00AF54A8"/>
    <w:rsid w:val="00AF694B"/>
    <w:rsid w:val="00B00632"/>
    <w:rsid w:val="00B00AAD"/>
    <w:rsid w:val="00B00E6E"/>
    <w:rsid w:val="00B0446C"/>
    <w:rsid w:val="00B04CBD"/>
    <w:rsid w:val="00B07030"/>
    <w:rsid w:val="00B073A2"/>
    <w:rsid w:val="00B075DF"/>
    <w:rsid w:val="00B0771D"/>
    <w:rsid w:val="00B07DD1"/>
    <w:rsid w:val="00B10E5E"/>
    <w:rsid w:val="00B11BB0"/>
    <w:rsid w:val="00B13DE0"/>
    <w:rsid w:val="00B14C29"/>
    <w:rsid w:val="00B15BD0"/>
    <w:rsid w:val="00B15D71"/>
    <w:rsid w:val="00B16270"/>
    <w:rsid w:val="00B16746"/>
    <w:rsid w:val="00B16BBA"/>
    <w:rsid w:val="00B16D5E"/>
    <w:rsid w:val="00B170E8"/>
    <w:rsid w:val="00B17DFA"/>
    <w:rsid w:val="00B21B5D"/>
    <w:rsid w:val="00B2205E"/>
    <w:rsid w:val="00B2305B"/>
    <w:rsid w:val="00B2433F"/>
    <w:rsid w:val="00B254F7"/>
    <w:rsid w:val="00B26730"/>
    <w:rsid w:val="00B31378"/>
    <w:rsid w:val="00B34323"/>
    <w:rsid w:val="00B3652C"/>
    <w:rsid w:val="00B3769E"/>
    <w:rsid w:val="00B3790C"/>
    <w:rsid w:val="00B43877"/>
    <w:rsid w:val="00B440E8"/>
    <w:rsid w:val="00B447F2"/>
    <w:rsid w:val="00B451F3"/>
    <w:rsid w:val="00B51007"/>
    <w:rsid w:val="00B54301"/>
    <w:rsid w:val="00B56ADE"/>
    <w:rsid w:val="00B571A6"/>
    <w:rsid w:val="00B577E2"/>
    <w:rsid w:val="00B63531"/>
    <w:rsid w:val="00B64903"/>
    <w:rsid w:val="00B64C16"/>
    <w:rsid w:val="00B6553F"/>
    <w:rsid w:val="00B659A7"/>
    <w:rsid w:val="00B66575"/>
    <w:rsid w:val="00B66CE7"/>
    <w:rsid w:val="00B7008A"/>
    <w:rsid w:val="00B717B3"/>
    <w:rsid w:val="00B732FB"/>
    <w:rsid w:val="00B738E2"/>
    <w:rsid w:val="00B744F6"/>
    <w:rsid w:val="00B746E3"/>
    <w:rsid w:val="00B75899"/>
    <w:rsid w:val="00B75996"/>
    <w:rsid w:val="00B76EBD"/>
    <w:rsid w:val="00B77DD2"/>
    <w:rsid w:val="00B815CF"/>
    <w:rsid w:val="00B83D49"/>
    <w:rsid w:val="00B859B6"/>
    <w:rsid w:val="00B86730"/>
    <w:rsid w:val="00B90FFD"/>
    <w:rsid w:val="00B91463"/>
    <w:rsid w:val="00B91AAA"/>
    <w:rsid w:val="00B921A9"/>
    <w:rsid w:val="00B92DC5"/>
    <w:rsid w:val="00B95A35"/>
    <w:rsid w:val="00B9682E"/>
    <w:rsid w:val="00BA082C"/>
    <w:rsid w:val="00BA2149"/>
    <w:rsid w:val="00BA4771"/>
    <w:rsid w:val="00BB1CCD"/>
    <w:rsid w:val="00BB26D3"/>
    <w:rsid w:val="00BB2E11"/>
    <w:rsid w:val="00BB2F09"/>
    <w:rsid w:val="00BB33AF"/>
    <w:rsid w:val="00BB3C0D"/>
    <w:rsid w:val="00BB3DEC"/>
    <w:rsid w:val="00BB762C"/>
    <w:rsid w:val="00BC0220"/>
    <w:rsid w:val="00BC32E7"/>
    <w:rsid w:val="00BC5B01"/>
    <w:rsid w:val="00BC5EC8"/>
    <w:rsid w:val="00BC62E3"/>
    <w:rsid w:val="00BD031E"/>
    <w:rsid w:val="00BD1239"/>
    <w:rsid w:val="00BD27C4"/>
    <w:rsid w:val="00BD3C5D"/>
    <w:rsid w:val="00BD43A8"/>
    <w:rsid w:val="00BD7366"/>
    <w:rsid w:val="00BE11D6"/>
    <w:rsid w:val="00BE1BFE"/>
    <w:rsid w:val="00BE3315"/>
    <w:rsid w:val="00BE3F4C"/>
    <w:rsid w:val="00BE43EC"/>
    <w:rsid w:val="00BE6FD8"/>
    <w:rsid w:val="00BE7E19"/>
    <w:rsid w:val="00BF091C"/>
    <w:rsid w:val="00BF12A6"/>
    <w:rsid w:val="00BF168F"/>
    <w:rsid w:val="00BF792D"/>
    <w:rsid w:val="00C002DE"/>
    <w:rsid w:val="00C005F3"/>
    <w:rsid w:val="00C009D0"/>
    <w:rsid w:val="00C009E0"/>
    <w:rsid w:val="00C01B5D"/>
    <w:rsid w:val="00C02CAF"/>
    <w:rsid w:val="00C03BD4"/>
    <w:rsid w:val="00C041D6"/>
    <w:rsid w:val="00C04C7C"/>
    <w:rsid w:val="00C0617C"/>
    <w:rsid w:val="00C06A47"/>
    <w:rsid w:val="00C070E6"/>
    <w:rsid w:val="00C0795D"/>
    <w:rsid w:val="00C107A9"/>
    <w:rsid w:val="00C112C1"/>
    <w:rsid w:val="00C12124"/>
    <w:rsid w:val="00C1273C"/>
    <w:rsid w:val="00C14BA3"/>
    <w:rsid w:val="00C16CD1"/>
    <w:rsid w:val="00C17385"/>
    <w:rsid w:val="00C202F9"/>
    <w:rsid w:val="00C22273"/>
    <w:rsid w:val="00C231F5"/>
    <w:rsid w:val="00C24418"/>
    <w:rsid w:val="00C258E4"/>
    <w:rsid w:val="00C30B9D"/>
    <w:rsid w:val="00C343FA"/>
    <w:rsid w:val="00C357A6"/>
    <w:rsid w:val="00C35D9C"/>
    <w:rsid w:val="00C35FFD"/>
    <w:rsid w:val="00C3762E"/>
    <w:rsid w:val="00C37EEB"/>
    <w:rsid w:val="00C40C22"/>
    <w:rsid w:val="00C478AE"/>
    <w:rsid w:val="00C50844"/>
    <w:rsid w:val="00C52435"/>
    <w:rsid w:val="00C53419"/>
    <w:rsid w:val="00C5515A"/>
    <w:rsid w:val="00C563D2"/>
    <w:rsid w:val="00C573CB"/>
    <w:rsid w:val="00C57981"/>
    <w:rsid w:val="00C60792"/>
    <w:rsid w:val="00C64A4C"/>
    <w:rsid w:val="00C66E7B"/>
    <w:rsid w:val="00C678B1"/>
    <w:rsid w:val="00C67C46"/>
    <w:rsid w:val="00C706B3"/>
    <w:rsid w:val="00C7101B"/>
    <w:rsid w:val="00C7152E"/>
    <w:rsid w:val="00C71697"/>
    <w:rsid w:val="00C72F0B"/>
    <w:rsid w:val="00C7397D"/>
    <w:rsid w:val="00C73BFD"/>
    <w:rsid w:val="00C77027"/>
    <w:rsid w:val="00C77AD4"/>
    <w:rsid w:val="00C77C27"/>
    <w:rsid w:val="00C80AED"/>
    <w:rsid w:val="00C81941"/>
    <w:rsid w:val="00C82158"/>
    <w:rsid w:val="00C82DAF"/>
    <w:rsid w:val="00C840AE"/>
    <w:rsid w:val="00C8415B"/>
    <w:rsid w:val="00C84F8F"/>
    <w:rsid w:val="00C858BB"/>
    <w:rsid w:val="00C85F29"/>
    <w:rsid w:val="00C87938"/>
    <w:rsid w:val="00C9060E"/>
    <w:rsid w:val="00C91B84"/>
    <w:rsid w:val="00C920A5"/>
    <w:rsid w:val="00C94CD5"/>
    <w:rsid w:val="00C96371"/>
    <w:rsid w:val="00C97590"/>
    <w:rsid w:val="00C97E32"/>
    <w:rsid w:val="00CA0BAE"/>
    <w:rsid w:val="00CA0E06"/>
    <w:rsid w:val="00CA123E"/>
    <w:rsid w:val="00CA2FDC"/>
    <w:rsid w:val="00CA3BBA"/>
    <w:rsid w:val="00CA416D"/>
    <w:rsid w:val="00CA49C1"/>
    <w:rsid w:val="00CA73C5"/>
    <w:rsid w:val="00CA7E66"/>
    <w:rsid w:val="00CB0387"/>
    <w:rsid w:val="00CB07F0"/>
    <w:rsid w:val="00CB0D98"/>
    <w:rsid w:val="00CB11E3"/>
    <w:rsid w:val="00CB2215"/>
    <w:rsid w:val="00CB318C"/>
    <w:rsid w:val="00CB5A01"/>
    <w:rsid w:val="00CB5D6D"/>
    <w:rsid w:val="00CB64D2"/>
    <w:rsid w:val="00CB6995"/>
    <w:rsid w:val="00CB6A19"/>
    <w:rsid w:val="00CC0602"/>
    <w:rsid w:val="00CC097E"/>
    <w:rsid w:val="00CC0D3C"/>
    <w:rsid w:val="00CC0E22"/>
    <w:rsid w:val="00CC2874"/>
    <w:rsid w:val="00CC2EF5"/>
    <w:rsid w:val="00CC39A6"/>
    <w:rsid w:val="00CC4045"/>
    <w:rsid w:val="00CC71C5"/>
    <w:rsid w:val="00CD2694"/>
    <w:rsid w:val="00CD6850"/>
    <w:rsid w:val="00CD73D9"/>
    <w:rsid w:val="00CE03AA"/>
    <w:rsid w:val="00CE06BF"/>
    <w:rsid w:val="00CE5B48"/>
    <w:rsid w:val="00CE67ED"/>
    <w:rsid w:val="00CE7FC3"/>
    <w:rsid w:val="00CF0056"/>
    <w:rsid w:val="00CF3A3F"/>
    <w:rsid w:val="00CF3B2E"/>
    <w:rsid w:val="00CF4010"/>
    <w:rsid w:val="00CF6193"/>
    <w:rsid w:val="00D004BF"/>
    <w:rsid w:val="00D00E5B"/>
    <w:rsid w:val="00D0180E"/>
    <w:rsid w:val="00D02F64"/>
    <w:rsid w:val="00D04785"/>
    <w:rsid w:val="00D04E78"/>
    <w:rsid w:val="00D10251"/>
    <w:rsid w:val="00D10375"/>
    <w:rsid w:val="00D10BB2"/>
    <w:rsid w:val="00D12680"/>
    <w:rsid w:val="00D12CC1"/>
    <w:rsid w:val="00D136A7"/>
    <w:rsid w:val="00D15029"/>
    <w:rsid w:val="00D1529F"/>
    <w:rsid w:val="00D2006F"/>
    <w:rsid w:val="00D21463"/>
    <w:rsid w:val="00D21BCC"/>
    <w:rsid w:val="00D23289"/>
    <w:rsid w:val="00D23F4D"/>
    <w:rsid w:val="00D25D37"/>
    <w:rsid w:val="00D32C7D"/>
    <w:rsid w:val="00D32FB1"/>
    <w:rsid w:val="00D33AAA"/>
    <w:rsid w:val="00D34588"/>
    <w:rsid w:val="00D3478E"/>
    <w:rsid w:val="00D34D1C"/>
    <w:rsid w:val="00D35C9B"/>
    <w:rsid w:val="00D36C73"/>
    <w:rsid w:val="00D423EF"/>
    <w:rsid w:val="00D42546"/>
    <w:rsid w:val="00D42FD2"/>
    <w:rsid w:val="00D43000"/>
    <w:rsid w:val="00D43C70"/>
    <w:rsid w:val="00D44C9F"/>
    <w:rsid w:val="00D45938"/>
    <w:rsid w:val="00D52FDB"/>
    <w:rsid w:val="00D53EAD"/>
    <w:rsid w:val="00D54147"/>
    <w:rsid w:val="00D5477E"/>
    <w:rsid w:val="00D54C2F"/>
    <w:rsid w:val="00D57BF1"/>
    <w:rsid w:val="00D57E85"/>
    <w:rsid w:val="00D60AAD"/>
    <w:rsid w:val="00D60CCD"/>
    <w:rsid w:val="00D616C6"/>
    <w:rsid w:val="00D61FB6"/>
    <w:rsid w:val="00D62C54"/>
    <w:rsid w:val="00D64953"/>
    <w:rsid w:val="00D65884"/>
    <w:rsid w:val="00D6696D"/>
    <w:rsid w:val="00D704AB"/>
    <w:rsid w:val="00D70AF8"/>
    <w:rsid w:val="00D71F0A"/>
    <w:rsid w:val="00D72499"/>
    <w:rsid w:val="00D75C36"/>
    <w:rsid w:val="00D75CCF"/>
    <w:rsid w:val="00D76039"/>
    <w:rsid w:val="00D8444F"/>
    <w:rsid w:val="00D87572"/>
    <w:rsid w:val="00D91DA7"/>
    <w:rsid w:val="00D93F72"/>
    <w:rsid w:val="00D94217"/>
    <w:rsid w:val="00D94686"/>
    <w:rsid w:val="00D953CD"/>
    <w:rsid w:val="00DA0A97"/>
    <w:rsid w:val="00DA6D87"/>
    <w:rsid w:val="00DA793B"/>
    <w:rsid w:val="00DB3001"/>
    <w:rsid w:val="00DB3BFF"/>
    <w:rsid w:val="00DB4A71"/>
    <w:rsid w:val="00DB4FFE"/>
    <w:rsid w:val="00DB656F"/>
    <w:rsid w:val="00DB7B42"/>
    <w:rsid w:val="00DC0030"/>
    <w:rsid w:val="00DC0279"/>
    <w:rsid w:val="00DC125A"/>
    <w:rsid w:val="00DC1848"/>
    <w:rsid w:val="00DC39EC"/>
    <w:rsid w:val="00DC4962"/>
    <w:rsid w:val="00DC7C21"/>
    <w:rsid w:val="00DD0998"/>
    <w:rsid w:val="00DD1D7E"/>
    <w:rsid w:val="00DD2E39"/>
    <w:rsid w:val="00DD4735"/>
    <w:rsid w:val="00DD67BF"/>
    <w:rsid w:val="00DE0209"/>
    <w:rsid w:val="00DE0378"/>
    <w:rsid w:val="00DE1175"/>
    <w:rsid w:val="00DE17D3"/>
    <w:rsid w:val="00DE2395"/>
    <w:rsid w:val="00DE33B0"/>
    <w:rsid w:val="00DE4C7A"/>
    <w:rsid w:val="00DE669C"/>
    <w:rsid w:val="00DE6E89"/>
    <w:rsid w:val="00DF13A8"/>
    <w:rsid w:val="00DF13DB"/>
    <w:rsid w:val="00DF252D"/>
    <w:rsid w:val="00DF3A4A"/>
    <w:rsid w:val="00DF492D"/>
    <w:rsid w:val="00DF6036"/>
    <w:rsid w:val="00DF6BC3"/>
    <w:rsid w:val="00E00254"/>
    <w:rsid w:val="00E00716"/>
    <w:rsid w:val="00E00DF7"/>
    <w:rsid w:val="00E01296"/>
    <w:rsid w:val="00E02CBA"/>
    <w:rsid w:val="00E02D69"/>
    <w:rsid w:val="00E05798"/>
    <w:rsid w:val="00E10C49"/>
    <w:rsid w:val="00E12AA0"/>
    <w:rsid w:val="00E14221"/>
    <w:rsid w:val="00E14ACF"/>
    <w:rsid w:val="00E15A44"/>
    <w:rsid w:val="00E15C90"/>
    <w:rsid w:val="00E1649E"/>
    <w:rsid w:val="00E2022F"/>
    <w:rsid w:val="00E216D5"/>
    <w:rsid w:val="00E21F6A"/>
    <w:rsid w:val="00E22D99"/>
    <w:rsid w:val="00E27B16"/>
    <w:rsid w:val="00E30B22"/>
    <w:rsid w:val="00E32F2B"/>
    <w:rsid w:val="00E34334"/>
    <w:rsid w:val="00E34707"/>
    <w:rsid w:val="00E34ED3"/>
    <w:rsid w:val="00E37772"/>
    <w:rsid w:val="00E3798A"/>
    <w:rsid w:val="00E41B58"/>
    <w:rsid w:val="00E42835"/>
    <w:rsid w:val="00E4388F"/>
    <w:rsid w:val="00E46007"/>
    <w:rsid w:val="00E460F3"/>
    <w:rsid w:val="00E476AB"/>
    <w:rsid w:val="00E50177"/>
    <w:rsid w:val="00E5027B"/>
    <w:rsid w:val="00E51D58"/>
    <w:rsid w:val="00E53E54"/>
    <w:rsid w:val="00E5626A"/>
    <w:rsid w:val="00E62837"/>
    <w:rsid w:val="00E64ACD"/>
    <w:rsid w:val="00E70609"/>
    <w:rsid w:val="00E7310E"/>
    <w:rsid w:val="00E74ABB"/>
    <w:rsid w:val="00E772E5"/>
    <w:rsid w:val="00E77BCF"/>
    <w:rsid w:val="00E80313"/>
    <w:rsid w:val="00E82585"/>
    <w:rsid w:val="00E840B4"/>
    <w:rsid w:val="00E8621C"/>
    <w:rsid w:val="00E90E7F"/>
    <w:rsid w:val="00E928F0"/>
    <w:rsid w:val="00EA097B"/>
    <w:rsid w:val="00EA0ABD"/>
    <w:rsid w:val="00EA1141"/>
    <w:rsid w:val="00EA4096"/>
    <w:rsid w:val="00EA46E7"/>
    <w:rsid w:val="00EA4D26"/>
    <w:rsid w:val="00EA6075"/>
    <w:rsid w:val="00EA68B9"/>
    <w:rsid w:val="00EA756D"/>
    <w:rsid w:val="00EA7FA8"/>
    <w:rsid w:val="00EB1636"/>
    <w:rsid w:val="00EB3C2A"/>
    <w:rsid w:val="00EB3C6F"/>
    <w:rsid w:val="00EB5133"/>
    <w:rsid w:val="00EB59C5"/>
    <w:rsid w:val="00EC199A"/>
    <w:rsid w:val="00EC3030"/>
    <w:rsid w:val="00EC3083"/>
    <w:rsid w:val="00EC66C0"/>
    <w:rsid w:val="00EC6993"/>
    <w:rsid w:val="00ED0DE1"/>
    <w:rsid w:val="00ED2FD9"/>
    <w:rsid w:val="00ED3928"/>
    <w:rsid w:val="00ED5E3E"/>
    <w:rsid w:val="00ED7146"/>
    <w:rsid w:val="00EE063B"/>
    <w:rsid w:val="00EE0AA9"/>
    <w:rsid w:val="00EE2354"/>
    <w:rsid w:val="00EE23CB"/>
    <w:rsid w:val="00EE259B"/>
    <w:rsid w:val="00EE47EE"/>
    <w:rsid w:val="00EE5F14"/>
    <w:rsid w:val="00EE6353"/>
    <w:rsid w:val="00EE6467"/>
    <w:rsid w:val="00EE759D"/>
    <w:rsid w:val="00EE76E2"/>
    <w:rsid w:val="00EF1344"/>
    <w:rsid w:val="00EF1962"/>
    <w:rsid w:val="00EF226B"/>
    <w:rsid w:val="00EF4697"/>
    <w:rsid w:val="00EF56A7"/>
    <w:rsid w:val="00EF5DE2"/>
    <w:rsid w:val="00F007E0"/>
    <w:rsid w:val="00F00937"/>
    <w:rsid w:val="00F0429A"/>
    <w:rsid w:val="00F049B3"/>
    <w:rsid w:val="00F05B49"/>
    <w:rsid w:val="00F10C21"/>
    <w:rsid w:val="00F10C84"/>
    <w:rsid w:val="00F12356"/>
    <w:rsid w:val="00F13CF7"/>
    <w:rsid w:val="00F141BF"/>
    <w:rsid w:val="00F14D34"/>
    <w:rsid w:val="00F15E91"/>
    <w:rsid w:val="00F20AFA"/>
    <w:rsid w:val="00F21CED"/>
    <w:rsid w:val="00F22399"/>
    <w:rsid w:val="00F22F1A"/>
    <w:rsid w:val="00F245FC"/>
    <w:rsid w:val="00F25A83"/>
    <w:rsid w:val="00F268C3"/>
    <w:rsid w:val="00F26F89"/>
    <w:rsid w:val="00F27B90"/>
    <w:rsid w:val="00F315C9"/>
    <w:rsid w:val="00F31F2D"/>
    <w:rsid w:val="00F34DC3"/>
    <w:rsid w:val="00F355D9"/>
    <w:rsid w:val="00F35990"/>
    <w:rsid w:val="00F35CDA"/>
    <w:rsid w:val="00F36752"/>
    <w:rsid w:val="00F429F7"/>
    <w:rsid w:val="00F42D42"/>
    <w:rsid w:val="00F42E31"/>
    <w:rsid w:val="00F4329F"/>
    <w:rsid w:val="00F45566"/>
    <w:rsid w:val="00F45B72"/>
    <w:rsid w:val="00F506F9"/>
    <w:rsid w:val="00F512E2"/>
    <w:rsid w:val="00F51E5E"/>
    <w:rsid w:val="00F53340"/>
    <w:rsid w:val="00F54A1F"/>
    <w:rsid w:val="00F60E6D"/>
    <w:rsid w:val="00F6254C"/>
    <w:rsid w:val="00F62BD2"/>
    <w:rsid w:val="00F637E4"/>
    <w:rsid w:val="00F6456E"/>
    <w:rsid w:val="00F64B32"/>
    <w:rsid w:val="00F65543"/>
    <w:rsid w:val="00F65BB0"/>
    <w:rsid w:val="00F70477"/>
    <w:rsid w:val="00F70C4B"/>
    <w:rsid w:val="00F7290E"/>
    <w:rsid w:val="00F73CFC"/>
    <w:rsid w:val="00F76AB0"/>
    <w:rsid w:val="00F76B05"/>
    <w:rsid w:val="00F77786"/>
    <w:rsid w:val="00F80024"/>
    <w:rsid w:val="00F808C0"/>
    <w:rsid w:val="00F81BAD"/>
    <w:rsid w:val="00F82159"/>
    <w:rsid w:val="00F83712"/>
    <w:rsid w:val="00F83EFF"/>
    <w:rsid w:val="00F83FEC"/>
    <w:rsid w:val="00F8438B"/>
    <w:rsid w:val="00F846EE"/>
    <w:rsid w:val="00F84717"/>
    <w:rsid w:val="00F84AC0"/>
    <w:rsid w:val="00F859B1"/>
    <w:rsid w:val="00F85CA3"/>
    <w:rsid w:val="00F867DE"/>
    <w:rsid w:val="00F87EDD"/>
    <w:rsid w:val="00F91142"/>
    <w:rsid w:val="00F91AE7"/>
    <w:rsid w:val="00F931DE"/>
    <w:rsid w:val="00F95C77"/>
    <w:rsid w:val="00F96B80"/>
    <w:rsid w:val="00FA06B7"/>
    <w:rsid w:val="00FA12DC"/>
    <w:rsid w:val="00FA2927"/>
    <w:rsid w:val="00FA31D8"/>
    <w:rsid w:val="00FA3B63"/>
    <w:rsid w:val="00FA3C38"/>
    <w:rsid w:val="00FA43EC"/>
    <w:rsid w:val="00FA5617"/>
    <w:rsid w:val="00FA672D"/>
    <w:rsid w:val="00FA6D5C"/>
    <w:rsid w:val="00FA76CD"/>
    <w:rsid w:val="00FB248C"/>
    <w:rsid w:val="00FB2AB3"/>
    <w:rsid w:val="00FB38C9"/>
    <w:rsid w:val="00FB5D40"/>
    <w:rsid w:val="00FB5DAD"/>
    <w:rsid w:val="00FC03A2"/>
    <w:rsid w:val="00FC05CC"/>
    <w:rsid w:val="00FC3AB4"/>
    <w:rsid w:val="00FC3E3F"/>
    <w:rsid w:val="00FC521D"/>
    <w:rsid w:val="00FC5DD1"/>
    <w:rsid w:val="00FC64C5"/>
    <w:rsid w:val="00FC7D5B"/>
    <w:rsid w:val="00FD03E0"/>
    <w:rsid w:val="00FD0D2C"/>
    <w:rsid w:val="00FD0D8B"/>
    <w:rsid w:val="00FD1C4E"/>
    <w:rsid w:val="00FD2D7A"/>
    <w:rsid w:val="00FD37F2"/>
    <w:rsid w:val="00FD44E8"/>
    <w:rsid w:val="00FD7200"/>
    <w:rsid w:val="00FE2B24"/>
    <w:rsid w:val="00FE2C70"/>
    <w:rsid w:val="00FE5F30"/>
    <w:rsid w:val="00FE6ABD"/>
    <w:rsid w:val="00FE760F"/>
    <w:rsid w:val="00FF2680"/>
    <w:rsid w:val="00FF3199"/>
    <w:rsid w:val="00FF3DBB"/>
    <w:rsid w:val="00FF4135"/>
    <w:rsid w:val="00FF4805"/>
    <w:rsid w:val="00FF7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0E5C9"/>
  <w15:chartTrackingRefBased/>
  <w15:docId w15:val="{5C9298F1-1B4A-4A57-BC3B-20DB33A5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AC64B3"/>
    <w:pPr>
      <w:keepNext/>
      <w:keepLines/>
      <w:spacing w:before="160" w:after="80" w:line="276" w:lineRule="atLeast"/>
      <w:outlineLvl w:val="2"/>
    </w:pPr>
    <w:rPr>
      <w:rFonts w:ascii="ApAos" w:hAnsi="ApAos" w:cs="ApAos"/>
      <w:color w:val="008080"/>
      <w:sz w:val="28"/>
      <w:szCs w:val="20"/>
      <w:lang w:val="es-MX" w:eastAsia="es-MX"/>
    </w:rPr>
  </w:style>
  <w:style w:type="paragraph" w:styleId="Heading4">
    <w:name w:val="heading 4"/>
    <w:basedOn w:val="Normal"/>
    <w:next w:val="Normal"/>
    <w:link w:val="Heading4Char"/>
    <w:qFormat/>
    <w:rsid w:val="00AC64B3"/>
    <w:pPr>
      <w:keepNext/>
      <w:keepLines/>
      <w:spacing w:before="80" w:after="40" w:line="276" w:lineRule="atLeast"/>
      <w:outlineLvl w:val="3"/>
    </w:pPr>
    <w:rPr>
      <w:rFonts w:ascii="ApAos" w:hAnsi="ApAos" w:cs="ApAos"/>
      <w:i/>
      <w:color w:val="008080"/>
      <w:sz w:val="21"/>
      <w:szCs w:val="20"/>
      <w:lang w:val="es-MX" w:eastAsia="es-MX"/>
    </w:rPr>
  </w:style>
  <w:style w:type="paragraph" w:styleId="Heading5">
    <w:name w:val="heading 5"/>
    <w:basedOn w:val="Normal"/>
    <w:next w:val="Normal"/>
    <w:link w:val="Heading5Char"/>
    <w:qFormat/>
    <w:rsid w:val="00AC64B3"/>
    <w:pPr>
      <w:keepNext/>
      <w:keepLines/>
      <w:spacing w:before="80" w:after="40" w:line="276" w:lineRule="atLeast"/>
      <w:outlineLvl w:val="4"/>
    </w:pPr>
    <w:rPr>
      <w:rFonts w:ascii="ApAos" w:hAnsi="ApAos" w:cs="ApAos"/>
      <w:color w:val="008080"/>
      <w:sz w:val="21"/>
      <w:szCs w:val="20"/>
      <w:lang w:val="es-MX" w:eastAsia="es-MX"/>
    </w:rPr>
  </w:style>
  <w:style w:type="paragraph" w:styleId="Heading6">
    <w:name w:val="heading 6"/>
    <w:basedOn w:val="Normal"/>
    <w:next w:val="Normal"/>
    <w:link w:val="Heading6Char"/>
    <w:qFormat/>
    <w:rsid w:val="00AC64B3"/>
    <w:pPr>
      <w:keepNext/>
      <w:keepLines/>
      <w:spacing w:before="40" w:line="276" w:lineRule="atLeast"/>
      <w:outlineLvl w:val="5"/>
    </w:pPr>
    <w:rPr>
      <w:rFonts w:ascii="ApAos" w:hAnsi="ApAos" w:cs="ApAos"/>
      <w:i/>
      <w:color w:val="808080"/>
      <w:sz w:val="21"/>
      <w:szCs w:val="20"/>
      <w:lang w:val="es-MX" w:eastAsia="es-MX"/>
    </w:rPr>
  </w:style>
  <w:style w:type="paragraph" w:styleId="Heading7">
    <w:name w:val="heading 7"/>
    <w:basedOn w:val="Normal"/>
    <w:next w:val="Normal"/>
    <w:link w:val="Heading7Char"/>
    <w:qFormat/>
    <w:rsid w:val="00AC64B3"/>
    <w:pPr>
      <w:keepNext/>
      <w:keepLines/>
      <w:spacing w:before="40" w:line="276" w:lineRule="atLeast"/>
      <w:outlineLvl w:val="6"/>
    </w:pPr>
    <w:rPr>
      <w:rFonts w:ascii="ApAos" w:hAnsi="ApAos" w:cs="ApAos"/>
      <w:color w:val="808080"/>
      <w:sz w:val="21"/>
      <w:szCs w:val="20"/>
      <w:lang w:val="es-MX" w:eastAsia="es-MX"/>
    </w:rPr>
  </w:style>
  <w:style w:type="paragraph" w:styleId="Heading8">
    <w:name w:val="heading 8"/>
    <w:basedOn w:val="Normal"/>
    <w:next w:val="Normal"/>
    <w:link w:val="Heading8Char"/>
    <w:qFormat/>
    <w:rsid w:val="00AC64B3"/>
    <w:pPr>
      <w:keepNext/>
      <w:keepLines/>
      <w:spacing w:line="276" w:lineRule="atLeast"/>
      <w:outlineLvl w:val="7"/>
    </w:pPr>
    <w:rPr>
      <w:rFonts w:ascii="ApAos" w:hAnsi="ApAos" w:cs="ApAos"/>
      <w:i/>
      <w:color w:val="000000"/>
      <w:sz w:val="21"/>
      <w:szCs w:val="20"/>
      <w:lang w:val="es-MX" w:eastAsia="es-MX"/>
    </w:rPr>
  </w:style>
  <w:style w:type="paragraph" w:styleId="Heading9">
    <w:name w:val="heading 9"/>
    <w:basedOn w:val="Normal"/>
    <w:next w:val="Normal"/>
    <w:link w:val="Heading9Char"/>
    <w:qFormat/>
    <w:rsid w:val="00AC64B3"/>
    <w:pPr>
      <w:keepNext/>
      <w:keepLines/>
      <w:spacing w:line="276" w:lineRule="atLeast"/>
      <w:outlineLvl w:val="8"/>
    </w:pPr>
    <w:rPr>
      <w:rFonts w:ascii="ApAos" w:hAnsi="ApAos" w:cs="ApAos"/>
      <w:color w:val="000000"/>
      <w:sz w:val="21"/>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styleId="CommentText">
    <w:name w:val="annotation text"/>
    <w:basedOn w:val="Normal"/>
    <w:link w:val="CommentTextChar"/>
    <w:rsid w:val="00D44C9F"/>
    <w:pPr>
      <w:jc w:val="both"/>
    </w:pPr>
    <w:rPr>
      <w:rFonts w:ascii="ArAal Black" w:hAnsi="ArAal Black" w:cs="ArAal Black"/>
      <w:szCs w:val="20"/>
      <w:lang w:eastAsia="es-MX"/>
    </w:rPr>
  </w:style>
  <w:style w:type="character" w:customStyle="1" w:styleId="CommentTextChar">
    <w:name w:val="Comment Text Char"/>
    <w:link w:val="CommentText"/>
    <w:rsid w:val="00D44C9F"/>
    <w:rPr>
      <w:rFonts w:ascii="ArAal Black" w:hAnsi="ArAal Black" w:cs="ArAal Black"/>
      <w:sz w:val="24"/>
      <w:lang w:val="es-ES"/>
    </w:rPr>
  </w:style>
  <w:style w:type="paragraph" w:customStyle="1" w:styleId="EstilotextoPrimeral">
    <w:name w:val="Estilo texto + Primera l"/>
    <w:basedOn w:val="Normal"/>
    <w:rsid w:val="00D44C9F"/>
    <w:pPr>
      <w:spacing w:after="101" w:line="216" w:lineRule="exact"/>
      <w:jc w:val="both"/>
    </w:pPr>
    <w:rPr>
      <w:rFonts w:ascii="ArAal" w:hAnsi="ArAal" w:cs="ArAal"/>
      <w:sz w:val="18"/>
      <w:szCs w:val="20"/>
      <w:lang w:val="es-MX" w:eastAsia="es-MX"/>
    </w:rPr>
  </w:style>
  <w:style w:type="paragraph" w:customStyle="1" w:styleId="texto0">
    <w:name w:val="texto"/>
    <w:basedOn w:val="Normal"/>
    <w:rsid w:val="00D44C9F"/>
    <w:pPr>
      <w:spacing w:after="101" w:line="216" w:lineRule="exact"/>
      <w:ind w:firstLine="288"/>
      <w:jc w:val="both"/>
    </w:pPr>
    <w:rPr>
      <w:rFonts w:ascii="ArAal" w:hAnsi="ArAal" w:cs="ArAal"/>
      <w:sz w:val="18"/>
      <w:szCs w:val="20"/>
      <w:lang w:val="es-MX" w:eastAsia="es-MX"/>
    </w:rPr>
  </w:style>
  <w:style w:type="paragraph" w:customStyle="1" w:styleId="Default">
    <w:name w:val="Default"/>
    <w:rsid w:val="00D44C9F"/>
    <w:rPr>
      <w:rFonts w:ascii="ArAal" w:hAnsi="ArAal" w:cs="ArAal"/>
      <w:color w:val="000000"/>
      <w:sz w:val="24"/>
      <w:lang w:val="es-MX" w:eastAsia="es-MX"/>
    </w:rPr>
  </w:style>
  <w:style w:type="paragraph" w:customStyle="1" w:styleId="BalloonText2">
    <w:name w:val="Balloon Text2"/>
    <w:basedOn w:val="Normal"/>
    <w:rsid w:val="00D44C9F"/>
    <w:rPr>
      <w:rFonts w:ascii="SeAoe UI" w:hAnsi="SeAoe UI" w:cs="SeAoe UI"/>
      <w:sz w:val="18"/>
      <w:szCs w:val="20"/>
      <w:lang w:eastAsia="es-MX"/>
    </w:rPr>
  </w:style>
  <w:style w:type="paragraph" w:customStyle="1" w:styleId="Sumario">
    <w:name w:val="Sumario"/>
    <w:basedOn w:val="Normal"/>
    <w:rsid w:val="00D44C9F"/>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D44C9F"/>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CommentSubject1">
    <w:name w:val="Comment Subject1"/>
    <w:basedOn w:val="CommentText"/>
    <w:next w:val="CommentText"/>
    <w:rsid w:val="00D44C9F"/>
    <w:rPr>
      <w:b/>
    </w:rPr>
  </w:style>
  <w:style w:type="paragraph" w:customStyle="1" w:styleId="Revisin">
    <w:name w:val="Revisión"/>
    <w:rsid w:val="00D44C9F"/>
    <w:rPr>
      <w:rFonts w:ascii="TiAes New Roman" w:hAnsi="TiAes New Roman" w:cs="TiAes New Roman"/>
      <w:sz w:val="24"/>
      <w:lang w:val="es-ES" w:eastAsia="es-MX"/>
    </w:rPr>
  </w:style>
  <w:style w:type="paragraph" w:customStyle="1" w:styleId="Prrafodelista">
    <w:name w:val="Párrafo de lista"/>
    <w:basedOn w:val="Normal"/>
    <w:qFormat/>
    <w:rsid w:val="00D44C9F"/>
    <w:pPr>
      <w:ind w:left="708"/>
    </w:pPr>
    <w:rPr>
      <w:rFonts w:ascii="TiAes New Roman" w:hAnsi="TiAes New Roman" w:cs="TiAes New Roman"/>
      <w:szCs w:val="20"/>
      <w:lang w:eastAsia="es-MX"/>
    </w:rPr>
  </w:style>
  <w:style w:type="paragraph" w:customStyle="1" w:styleId="Sinespaciado">
    <w:name w:val="Sin espaciado"/>
    <w:qFormat/>
    <w:rsid w:val="00D44C9F"/>
    <w:rPr>
      <w:rFonts w:ascii="CaAibri" w:hAnsi="CaAibri" w:cs="CaAibri"/>
      <w:sz w:val="24"/>
      <w:lang w:val="es-MX" w:eastAsia="es-MX"/>
    </w:rPr>
  </w:style>
  <w:style w:type="character" w:customStyle="1" w:styleId="Heading3Char">
    <w:name w:val="Heading 3 Char"/>
    <w:link w:val="Heading3"/>
    <w:rsid w:val="00AC64B3"/>
    <w:rPr>
      <w:rFonts w:ascii="ApAos" w:hAnsi="ApAos" w:cs="ApAos"/>
      <w:color w:val="008080"/>
      <w:sz w:val="28"/>
    </w:rPr>
  </w:style>
  <w:style w:type="character" w:customStyle="1" w:styleId="Heading4Char">
    <w:name w:val="Heading 4 Char"/>
    <w:link w:val="Heading4"/>
    <w:rsid w:val="00AC64B3"/>
    <w:rPr>
      <w:rFonts w:ascii="ApAos" w:hAnsi="ApAos" w:cs="ApAos"/>
      <w:i/>
      <w:color w:val="008080"/>
      <w:sz w:val="21"/>
    </w:rPr>
  </w:style>
  <w:style w:type="character" w:customStyle="1" w:styleId="Heading5Char">
    <w:name w:val="Heading 5 Char"/>
    <w:link w:val="Heading5"/>
    <w:rsid w:val="00AC64B3"/>
    <w:rPr>
      <w:rFonts w:ascii="ApAos" w:hAnsi="ApAos" w:cs="ApAos"/>
      <w:color w:val="008080"/>
      <w:sz w:val="21"/>
    </w:rPr>
  </w:style>
  <w:style w:type="character" w:customStyle="1" w:styleId="Heading6Char">
    <w:name w:val="Heading 6 Char"/>
    <w:link w:val="Heading6"/>
    <w:rsid w:val="00AC64B3"/>
    <w:rPr>
      <w:rFonts w:ascii="ApAos" w:hAnsi="ApAos" w:cs="ApAos"/>
      <w:i/>
      <w:color w:val="808080"/>
      <w:sz w:val="21"/>
    </w:rPr>
  </w:style>
  <w:style w:type="character" w:customStyle="1" w:styleId="Heading7Char">
    <w:name w:val="Heading 7 Char"/>
    <w:link w:val="Heading7"/>
    <w:rsid w:val="00AC64B3"/>
    <w:rPr>
      <w:rFonts w:ascii="ApAos" w:hAnsi="ApAos" w:cs="ApAos"/>
      <w:color w:val="808080"/>
      <w:sz w:val="21"/>
    </w:rPr>
  </w:style>
  <w:style w:type="character" w:customStyle="1" w:styleId="Heading8Char">
    <w:name w:val="Heading 8 Char"/>
    <w:link w:val="Heading8"/>
    <w:rsid w:val="00AC64B3"/>
    <w:rPr>
      <w:rFonts w:ascii="ApAos" w:hAnsi="ApAos" w:cs="ApAos"/>
      <w:i/>
      <w:color w:val="000000"/>
      <w:sz w:val="21"/>
    </w:rPr>
  </w:style>
  <w:style w:type="character" w:customStyle="1" w:styleId="Heading9Char">
    <w:name w:val="Heading 9 Char"/>
    <w:link w:val="Heading9"/>
    <w:rsid w:val="00AC64B3"/>
    <w:rPr>
      <w:rFonts w:ascii="ApAos" w:hAnsi="ApAos" w:cs="ApAos"/>
      <w:color w:val="000000"/>
      <w:sz w:val="21"/>
    </w:rPr>
  </w:style>
  <w:style w:type="paragraph" w:styleId="TOC1">
    <w:name w:val="toc 1"/>
    <w:basedOn w:val="Normal"/>
    <w:next w:val="Normal"/>
    <w:rsid w:val="00AC64B3"/>
    <w:pPr>
      <w:tabs>
        <w:tab w:val="right" w:leader="dot" w:pos="8830"/>
      </w:tabs>
      <w:spacing w:before="120" w:after="100" w:line="276" w:lineRule="atLeast"/>
      <w:ind w:left="567" w:hanging="567"/>
      <w:jc w:val="both"/>
    </w:pPr>
    <w:rPr>
      <w:rFonts w:ascii="ArAal" w:hAnsi="ArAal" w:cs="ArAal"/>
      <w:sz w:val="28"/>
      <w:szCs w:val="20"/>
      <w:lang w:val="es-MX" w:eastAsia="es-MX"/>
    </w:rPr>
  </w:style>
  <w:style w:type="paragraph" w:styleId="FootnoteText">
    <w:name w:val="footnote text"/>
    <w:basedOn w:val="Normal"/>
    <w:link w:val="FootnoteTextChar"/>
    <w:rsid w:val="00AC64B3"/>
    <w:pPr>
      <w:spacing w:after="160" w:line="276" w:lineRule="atLeast"/>
    </w:pPr>
    <w:rPr>
      <w:rFonts w:ascii="CaAibri" w:hAnsi="CaAibri" w:cs="CaAibri"/>
      <w:sz w:val="20"/>
      <w:szCs w:val="20"/>
      <w:lang w:val="en-US" w:eastAsia="es-MX"/>
    </w:rPr>
  </w:style>
  <w:style w:type="character" w:customStyle="1" w:styleId="FootnoteTextChar">
    <w:name w:val="Footnote Text Char"/>
    <w:link w:val="FootnoteText"/>
    <w:rsid w:val="00AC64B3"/>
    <w:rPr>
      <w:rFonts w:ascii="CaAibri" w:hAnsi="CaAibri" w:cs="CaAibri"/>
      <w:lang w:val="en-US"/>
    </w:rPr>
  </w:style>
  <w:style w:type="paragraph" w:styleId="NormalIndent">
    <w:name w:val="Normal Indent"/>
    <w:basedOn w:val="Normal"/>
    <w:rsid w:val="00AC64B3"/>
    <w:pPr>
      <w:spacing w:after="72" w:line="187" w:lineRule="atLeast"/>
      <w:jc w:val="both"/>
    </w:pPr>
    <w:rPr>
      <w:rFonts w:ascii="ArAal" w:hAnsi="ArAal" w:cs="ArAal"/>
      <w:sz w:val="16"/>
      <w:szCs w:val="20"/>
      <w:lang w:val="es-ES_tradnl" w:eastAsia="es-MX"/>
    </w:rPr>
  </w:style>
  <w:style w:type="paragraph" w:customStyle="1" w:styleId="Ttulo2">
    <w:name w:val="Título2"/>
    <w:basedOn w:val="Normal"/>
    <w:next w:val="Normal"/>
    <w:rsid w:val="00AC64B3"/>
    <w:pPr>
      <w:spacing w:after="80"/>
    </w:pPr>
    <w:rPr>
      <w:rFonts w:ascii="ApAos Display" w:hAnsi="ApAos Display" w:cs="ApAos Display"/>
      <w:spacing w:val="-10"/>
      <w:sz w:val="56"/>
      <w:szCs w:val="20"/>
      <w:lang w:val="es-MX" w:eastAsia="es-MX"/>
    </w:rPr>
  </w:style>
  <w:style w:type="paragraph" w:styleId="Subtitle">
    <w:name w:val="Subtitle"/>
    <w:basedOn w:val="Normal"/>
    <w:next w:val="Normal"/>
    <w:link w:val="SubtitleChar"/>
    <w:qFormat/>
    <w:rsid w:val="00AC64B3"/>
    <w:pPr>
      <w:spacing w:after="160" w:line="276" w:lineRule="atLeast"/>
    </w:pPr>
    <w:rPr>
      <w:rFonts w:ascii="ApAos" w:hAnsi="ApAos" w:cs="ApAos"/>
      <w:color w:val="808080"/>
      <w:spacing w:val="15"/>
      <w:sz w:val="28"/>
      <w:szCs w:val="20"/>
      <w:lang w:val="es-MX" w:eastAsia="es-MX"/>
    </w:rPr>
  </w:style>
  <w:style w:type="character" w:customStyle="1" w:styleId="SubtitleChar">
    <w:name w:val="Subtitle Char"/>
    <w:link w:val="Subtitle"/>
    <w:rsid w:val="00AC64B3"/>
    <w:rPr>
      <w:rFonts w:ascii="ApAos" w:hAnsi="ApAos" w:cs="ApAos"/>
      <w:color w:val="808080"/>
      <w:spacing w:val="15"/>
      <w:sz w:val="28"/>
    </w:rPr>
  </w:style>
  <w:style w:type="paragraph" w:customStyle="1" w:styleId="Cita">
    <w:name w:val="Cita"/>
    <w:basedOn w:val="Normal"/>
    <w:next w:val="Normal"/>
    <w:link w:val="CitaCar"/>
    <w:qFormat/>
    <w:rsid w:val="00AC64B3"/>
    <w:pPr>
      <w:spacing w:before="160" w:after="160" w:line="276" w:lineRule="atLeast"/>
      <w:jc w:val="center"/>
    </w:pPr>
    <w:rPr>
      <w:rFonts w:ascii="ApAos" w:hAnsi="ApAos" w:cs="ApAos"/>
      <w:i/>
      <w:color w:val="000000"/>
      <w:sz w:val="21"/>
      <w:szCs w:val="20"/>
      <w:lang w:val="es-MX" w:eastAsia="es-MX"/>
    </w:rPr>
  </w:style>
  <w:style w:type="character" w:customStyle="1" w:styleId="CitaCar">
    <w:name w:val="Cita Car"/>
    <w:link w:val="Cita"/>
    <w:rsid w:val="00AC64B3"/>
    <w:rPr>
      <w:rFonts w:ascii="ApAos" w:hAnsi="ApAos" w:cs="ApAos"/>
      <w:i/>
      <w:color w:val="000000"/>
      <w:sz w:val="21"/>
    </w:rPr>
  </w:style>
  <w:style w:type="paragraph" w:customStyle="1" w:styleId="Citadestacada">
    <w:name w:val="Cita destacada"/>
    <w:basedOn w:val="Normal"/>
    <w:next w:val="Normal"/>
    <w:link w:val="CitadestacadaCar"/>
    <w:qFormat/>
    <w:rsid w:val="00AC64B3"/>
    <w:pPr>
      <w:pBdr>
        <w:top w:val="single" w:sz="6" w:space="10" w:color="008080"/>
        <w:bottom w:val="single" w:sz="6" w:space="10" w:color="008080"/>
      </w:pBdr>
      <w:spacing w:before="360" w:after="360" w:line="276" w:lineRule="atLeast"/>
      <w:ind w:left="864" w:right="864"/>
      <w:jc w:val="center"/>
    </w:pPr>
    <w:rPr>
      <w:rFonts w:ascii="ApAos" w:hAnsi="ApAos" w:cs="ApAos"/>
      <w:i/>
      <w:color w:val="008080"/>
      <w:sz w:val="21"/>
      <w:szCs w:val="20"/>
      <w:lang w:val="es-MX" w:eastAsia="es-MX"/>
    </w:rPr>
  </w:style>
  <w:style w:type="character" w:customStyle="1" w:styleId="CitadestacadaCar">
    <w:name w:val="Cita destacada Car"/>
    <w:link w:val="Citadestacada"/>
    <w:rsid w:val="00AC64B3"/>
    <w:rPr>
      <w:rFonts w:ascii="ApAos" w:hAnsi="ApAos" w:cs="ApAos"/>
      <w:i/>
      <w:color w:val="008080"/>
      <w:sz w:val="21"/>
    </w:rPr>
  </w:style>
  <w:style w:type="paragraph" w:customStyle="1" w:styleId="PlainText2">
    <w:name w:val="Plain Text2"/>
    <w:basedOn w:val="Normal"/>
    <w:rsid w:val="00AC64B3"/>
    <w:pPr>
      <w:spacing w:after="160" w:line="276" w:lineRule="atLeast"/>
    </w:pPr>
    <w:rPr>
      <w:rFonts w:ascii="CoArier New" w:hAnsi="CoArier New" w:cs="CoArier New"/>
      <w:sz w:val="20"/>
      <w:szCs w:val="20"/>
      <w:lang w:eastAsia="es-MX"/>
    </w:rPr>
  </w:style>
  <w:style w:type="paragraph" w:customStyle="1" w:styleId="BodyText22">
    <w:name w:val="Body Text 22"/>
    <w:basedOn w:val="Normal"/>
    <w:rsid w:val="00AC64B3"/>
    <w:pPr>
      <w:spacing w:after="160" w:line="276" w:lineRule="atLeast"/>
      <w:jc w:val="both"/>
    </w:pPr>
    <w:rPr>
      <w:rFonts w:ascii="ArAal" w:hAnsi="ArAal" w:cs="ArAal"/>
      <w:sz w:val="22"/>
      <w:szCs w:val="20"/>
      <w:lang w:eastAsia="es-MX"/>
    </w:rPr>
  </w:style>
  <w:style w:type="paragraph" w:styleId="NormalWeb">
    <w:name w:val="Normal (Web)"/>
    <w:basedOn w:val="Normal"/>
    <w:rsid w:val="00AC64B3"/>
    <w:pPr>
      <w:spacing w:before="100" w:after="100" w:line="276" w:lineRule="atLeast"/>
    </w:pPr>
    <w:rPr>
      <w:rFonts w:ascii="ArAal" w:hAnsi="ArAal" w:cs="ArAal"/>
      <w:color w:val="008080"/>
      <w:sz w:val="19"/>
      <w:szCs w:val="20"/>
      <w:lang w:eastAsia="es-MX"/>
    </w:rPr>
  </w:style>
  <w:style w:type="paragraph" w:customStyle="1" w:styleId="Estilosinnombre">
    <w:name w:val="Estilo sin nombre"/>
    <w:basedOn w:val="Normal"/>
    <w:rsid w:val="00AC64B3"/>
    <w:pPr>
      <w:spacing w:after="160" w:line="240" w:lineRule="exact"/>
    </w:pPr>
    <w:rPr>
      <w:rFonts w:ascii="TaAoma" w:hAnsi="TaAoma" w:cs="TaAoma"/>
      <w:sz w:val="20"/>
      <w:szCs w:val="20"/>
      <w:lang w:eastAsia="es-MX"/>
    </w:rPr>
  </w:style>
  <w:style w:type="paragraph" w:customStyle="1" w:styleId="BalloonText1">
    <w:name w:val="Balloon Text1"/>
    <w:basedOn w:val="Normal"/>
    <w:rsid w:val="00AC64B3"/>
    <w:pPr>
      <w:spacing w:after="160" w:line="276" w:lineRule="atLeast"/>
    </w:pPr>
    <w:rPr>
      <w:rFonts w:ascii="TaAoma" w:hAnsi="TaAoma" w:cs="TaAoma"/>
      <w:sz w:val="16"/>
      <w:szCs w:val="20"/>
      <w:lang w:eastAsia="es-MX"/>
    </w:rPr>
  </w:style>
  <w:style w:type="paragraph" w:customStyle="1" w:styleId="centrar">
    <w:name w:val="centrar"/>
    <w:basedOn w:val="Normal"/>
    <w:rsid w:val="00AC64B3"/>
    <w:pPr>
      <w:spacing w:before="100" w:after="100" w:line="276" w:lineRule="atLeast"/>
    </w:pPr>
    <w:rPr>
      <w:rFonts w:ascii="TiAes New Roman" w:hAnsi="TiAes New Roman" w:cs="TiAes New Roman"/>
      <w:b/>
      <w:sz w:val="21"/>
      <w:szCs w:val="20"/>
      <w:lang w:eastAsia="es-MX"/>
    </w:rPr>
  </w:style>
  <w:style w:type="paragraph" w:customStyle="1" w:styleId="sangria">
    <w:name w:val="sangria"/>
    <w:basedOn w:val="Normal"/>
    <w:rsid w:val="00AC64B3"/>
    <w:pPr>
      <w:spacing w:before="100" w:after="100" w:line="276" w:lineRule="atLeast"/>
      <w:ind w:left="240"/>
      <w:jc w:val="both"/>
    </w:pPr>
    <w:rPr>
      <w:rFonts w:ascii="TiAes New Roman" w:hAnsi="TiAes New Roman" w:cs="TiAes New Roman"/>
      <w:sz w:val="21"/>
      <w:szCs w:val="20"/>
      <w:lang w:eastAsia="es-MX"/>
    </w:rPr>
  </w:style>
  <w:style w:type="paragraph" w:customStyle="1" w:styleId="sangrota">
    <w:name w:val="sangrota"/>
    <w:basedOn w:val="Normal"/>
    <w:rsid w:val="00AC64B3"/>
    <w:pPr>
      <w:spacing w:before="100" w:after="100" w:line="276" w:lineRule="atLeast"/>
      <w:ind w:left="360"/>
      <w:jc w:val="both"/>
    </w:pPr>
    <w:rPr>
      <w:rFonts w:ascii="TiAes New Roman" w:hAnsi="TiAes New Roman" w:cs="TiAes New Roman"/>
      <w:sz w:val="21"/>
      <w:szCs w:val="20"/>
      <w:lang w:eastAsia="es-MX"/>
    </w:rPr>
  </w:style>
  <w:style w:type="paragraph" w:customStyle="1" w:styleId="sangrona">
    <w:name w:val="sangrona"/>
    <w:basedOn w:val="Normal"/>
    <w:rsid w:val="00AC64B3"/>
    <w:pPr>
      <w:spacing w:before="100" w:after="100" w:line="276" w:lineRule="atLeast"/>
      <w:ind w:left="360"/>
      <w:jc w:val="both"/>
    </w:pPr>
    <w:rPr>
      <w:rFonts w:ascii="TiAes New Roman" w:hAnsi="TiAes New Roman" w:cs="TiAes New Roman"/>
      <w:sz w:val="21"/>
      <w:szCs w:val="20"/>
      <w:lang w:eastAsia="es-MX"/>
    </w:rPr>
  </w:style>
  <w:style w:type="paragraph" w:customStyle="1" w:styleId="Textonormal">
    <w:name w:val="Texto normal"/>
    <w:basedOn w:val="Normal"/>
    <w:rsid w:val="00AC64B3"/>
    <w:pPr>
      <w:spacing w:after="160" w:line="276" w:lineRule="atLeast"/>
      <w:jc w:val="both"/>
    </w:pPr>
    <w:rPr>
      <w:rFonts w:ascii="ArAal" w:hAnsi="ArAal" w:cs="ArAal"/>
      <w:sz w:val="22"/>
      <w:szCs w:val="20"/>
      <w:lang w:val="es-MX" w:eastAsia="es-MX"/>
    </w:rPr>
  </w:style>
  <w:style w:type="paragraph" w:customStyle="1" w:styleId="BodyText21">
    <w:name w:val="Body Text 21"/>
    <w:basedOn w:val="Normal"/>
    <w:rsid w:val="00AC64B3"/>
    <w:pPr>
      <w:spacing w:after="160" w:line="276" w:lineRule="atLeast"/>
      <w:jc w:val="both"/>
    </w:pPr>
    <w:rPr>
      <w:rFonts w:ascii="ArAal" w:hAnsi="ArAal" w:cs="ArAal"/>
      <w:b/>
      <w:sz w:val="22"/>
      <w:szCs w:val="20"/>
      <w:lang w:val="es-MX" w:eastAsia="es-MX"/>
    </w:rPr>
  </w:style>
  <w:style w:type="paragraph" w:customStyle="1" w:styleId="BodyText31">
    <w:name w:val="Body Text 31"/>
    <w:basedOn w:val="Normal"/>
    <w:rsid w:val="00AC64B3"/>
    <w:pPr>
      <w:spacing w:after="160" w:line="276" w:lineRule="atLeast"/>
      <w:jc w:val="center"/>
    </w:pPr>
    <w:rPr>
      <w:rFonts w:ascii="ArAal" w:hAnsi="ArAal" w:cs="ArAal"/>
      <w:b/>
      <w:i/>
      <w:sz w:val="22"/>
      <w:szCs w:val="20"/>
      <w:lang w:val="es-MX" w:eastAsia="es-MX"/>
    </w:rPr>
  </w:style>
  <w:style w:type="paragraph" w:customStyle="1" w:styleId="Estilo2">
    <w:name w:val="Estilo2"/>
    <w:basedOn w:val="Normal"/>
    <w:rsid w:val="00AC64B3"/>
    <w:pPr>
      <w:tabs>
        <w:tab w:val="left" w:pos="360"/>
      </w:tabs>
      <w:spacing w:after="160" w:line="276" w:lineRule="atLeast"/>
      <w:ind w:left="360" w:hanging="360"/>
      <w:jc w:val="both"/>
    </w:pPr>
    <w:rPr>
      <w:rFonts w:ascii="TiAes New Roman" w:hAnsi="TiAes New Roman" w:cs="TiAes New Roman"/>
      <w:sz w:val="32"/>
      <w:szCs w:val="20"/>
      <w:lang w:eastAsia="es-MX"/>
    </w:rPr>
  </w:style>
  <w:style w:type="paragraph" w:customStyle="1" w:styleId="Ttulo31">
    <w:name w:val="Título 31"/>
    <w:basedOn w:val="Normal"/>
    <w:next w:val="Normal"/>
    <w:rsid w:val="00AC64B3"/>
    <w:pPr>
      <w:keepNext/>
      <w:keepLines/>
      <w:spacing w:before="200" w:after="160" w:line="276" w:lineRule="atLeast"/>
    </w:pPr>
    <w:rPr>
      <w:rFonts w:ascii="CaAbria" w:hAnsi="CaAbria" w:cs="CaAbria"/>
      <w:b/>
      <w:color w:val="C0C0C0"/>
      <w:sz w:val="22"/>
      <w:szCs w:val="20"/>
      <w:lang w:val="es-ES_tradnl" w:eastAsia="es-MX"/>
    </w:rPr>
  </w:style>
  <w:style w:type="paragraph" w:customStyle="1" w:styleId="Ttulo71">
    <w:name w:val="Título 71"/>
    <w:basedOn w:val="Normal"/>
    <w:next w:val="Normal"/>
    <w:rsid w:val="00AC64B3"/>
    <w:pPr>
      <w:keepNext/>
      <w:keepLines/>
      <w:spacing w:before="200" w:after="16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rsid w:val="00AC64B3"/>
    <w:pPr>
      <w:keepNext/>
      <w:keepLines/>
      <w:spacing w:before="200" w:after="160" w:line="276" w:lineRule="atLeast"/>
    </w:pPr>
    <w:rPr>
      <w:rFonts w:ascii="CaAbria" w:hAnsi="CaAbria" w:cs="CaAbria"/>
      <w:i/>
      <w:color w:val="000000"/>
      <w:sz w:val="20"/>
      <w:szCs w:val="20"/>
      <w:lang w:val="es-ES_tradnl" w:eastAsia="es-MX"/>
    </w:rPr>
  </w:style>
  <w:style w:type="paragraph" w:customStyle="1" w:styleId="BodyTextIndent31">
    <w:name w:val="Body Text Indent 31"/>
    <w:basedOn w:val="Normal"/>
    <w:rsid w:val="00AC64B3"/>
    <w:pPr>
      <w:spacing w:after="160" w:line="276" w:lineRule="atLeast"/>
      <w:ind w:hanging="1418"/>
      <w:jc w:val="both"/>
    </w:pPr>
    <w:rPr>
      <w:rFonts w:ascii="ArAal" w:hAnsi="ArAal" w:cs="ArAal"/>
      <w:sz w:val="21"/>
      <w:szCs w:val="20"/>
      <w:lang w:val="es-MX" w:eastAsia="es-MX"/>
    </w:rPr>
  </w:style>
  <w:style w:type="paragraph" w:customStyle="1" w:styleId="Asuntodelcomentario1">
    <w:name w:val="Asunto del comentario1"/>
    <w:basedOn w:val="CommentText"/>
    <w:next w:val="CommentText"/>
    <w:rsid w:val="00AC64B3"/>
    <w:pPr>
      <w:spacing w:after="200" w:line="276" w:lineRule="atLeast"/>
      <w:jc w:val="left"/>
    </w:pPr>
    <w:rPr>
      <w:rFonts w:ascii="CaAibri" w:hAnsi="CaAibri" w:cs="CaAibri"/>
      <w:b/>
      <w:sz w:val="20"/>
    </w:rPr>
  </w:style>
  <w:style w:type="paragraph" w:customStyle="1" w:styleId="CharChar">
    <w:name w:val="Char Char"/>
    <w:basedOn w:val="Normal"/>
    <w:rsid w:val="00AC64B3"/>
    <w:pPr>
      <w:spacing w:after="160" w:line="240" w:lineRule="exact"/>
    </w:pPr>
    <w:rPr>
      <w:rFonts w:ascii="TaAoma" w:hAnsi="TaAoma" w:cs="TaAoma"/>
      <w:sz w:val="20"/>
      <w:szCs w:val="20"/>
      <w:lang w:eastAsia="es-MX"/>
    </w:rPr>
  </w:style>
  <w:style w:type="paragraph" w:customStyle="1" w:styleId="Estilo">
    <w:name w:val="Estilo"/>
    <w:basedOn w:val="Sinespaciado"/>
    <w:rsid w:val="00AC64B3"/>
    <w:pPr>
      <w:jc w:val="both"/>
    </w:pPr>
    <w:rPr>
      <w:rFonts w:ascii="ArAal" w:hAnsi="ArAal" w:cs="ArAal"/>
      <w:lang w:val="en-US"/>
    </w:rPr>
  </w:style>
  <w:style w:type="paragraph" w:customStyle="1" w:styleId="romanos0">
    <w:name w:val="romanos"/>
    <w:basedOn w:val="Normal"/>
    <w:rsid w:val="00AC64B3"/>
    <w:pPr>
      <w:spacing w:before="100" w:after="100" w:line="276" w:lineRule="atLeast"/>
    </w:pPr>
    <w:rPr>
      <w:rFonts w:ascii="TiAes New Roman" w:hAnsi="TiAes New Roman" w:cs="TiAes New Roman"/>
      <w:sz w:val="21"/>
      <w:szCs w:val="20"/>
      <w:lang w:eastAsia="es-MX"/>
    </w:rPr>
  </w:style>
  <w:style w:type="paragraph" w:customStyle="1" w:styleId="PlainText1">
    <w:name w:val="Plain Text1"/>
    <w:basedOn w:val="Normal"/>
    <w:rsid w:val="00AC64B3"/>
    <w:pPr>
      <w:spacing w:after="160" w:line="276" w:lineRule="atLeast"/>
    </w:pPr>
    <w:rPr>
      <w:rFonts w:ascii="CoArier New" w:hAnsi="CoArier New" w:cs="CoArier New"/>
      <w:sz w:val="20"/>
      <w:szCs w:val="20"/>
      <w:lang w:eastAsia="es-MX"/>
    </w:rPr>
  </w:style>
  <w:style w:type="paragraph" w:customStyle="1" w:styleId="DocumentMap1">
    <w:name w:val="Document Map1"/>
    <w:basedOn w:val="Normal"/>
    <w:rsid w:val="00AC64B3"/>
    <w:pPr>
      <w:spacing w:after="160" w:line="276" w:lineRule="atLeast"/>
    </w:pPr>
    <w:rPr>
      <w:rFonts w:ascii="TiAes New Roman" w:hAnsi="TiAes New Roman" w:cs="TiAes New Roman"/>
      <w:sz w:val="21"/>
      <w:szCs w:val="20"/>
      <w:lang w:eastAsia="es-MX"/>
    </w:rPr>
  </w:style>
  <w:style w:type="paragraph" w:customStyle="1" w:styleId="Ttulo3Iniciativas">
    <w:name w:val="Título 3 [Iniciativas]"/>
    <w:basedOn w:val="Prrafodelista"/>
    <w:rsid w:val="00AC64B3"/>
    <w:pPr>
      <w:spacing w:after="160" w:line="360" w:lineRule="atLeast"/>
      <w:ind w:left="567" w:hanging="360"/>
      <w:jc w:val="both"/>
    </w:pPr>
    <w:rPr>
      <w:rFonts w:ascii="ArAal" w:hAnsi="ArAal" w:cs="ArAal"/>
      <w:b/>
      <w:sz w:val="21"/>
      <w:lang w:val="es-MX"/>
    </w:rPr>
  </w:style>
  <w:style w:type="paragraph" w:customStyle="1" w:styleId="Formatolibre">
    <w:name w:val="Formato libre"/>
    <w:rsid w:val="00AC64B3"/>
    <w:pPr>
      <w:spacing w:after="160" w:line="276" w:lineRule="atLeast"/>
    </w:pPr>
    <w:rPr>
      <w:rFonts w:ascii="HeAvetica" w:hAnsi="HeAvetica" w:cs="HeAvetica"/>
      <w:color w:val="000000"/>
      <w:sz w:val="24"/>
      <w:lang w:val="es-ES_tradnl" w:eastAsia="es-MX"/>
    </w:rPr>
  </w:style>
  <w:style w:type="paragraph" w:customStyle="1" w:styleId="Ttulo1">
    <w:name w:val="Título1"/>
    <w:basedOn w:val="Normal"/>
    <w:rsid w:val="00AC64B3"/>
    <w:pPr>
      <w:spacing w:after="160" w:line="300" w:lineRule="atLeast"/>
      <w:jc w:val="center"/>
    </w:pPr>
    <w:rPr>
      <w:rFonts w:ascii="CaAbria" w:hAnsi="CaAbria" w:cs="CaAbria"/>
      <w:b/>
      <w:sz w:val="32"/>
      <w:szCs w:val="20"/>
      <w:lang w:eastAsia="es-MX"/>
    </w:rPr>
  </w:style>
  <w:style w:type="paragraph" w:customStyle="1" w:styleId="corte4fondo">
    <w:name w:val="corte4 fondo"/>
    <w:basedOn w:val="Normal"/>
    <w:rsid w:val="00AC64B3"/>
    <w:pPr>
      <w:spacing w:after="160" w:line="360" w:lineRule="atLeast"/>
      <w:ind w:firstLine="709"/>
      <w:jc w:val="both"/>
    </w:pPr>
    <w:rPr>
      <w:rFonts w:ascii="ArAal" w:hAnsi="ArAal" w:cs="ArAal"/>
      <w:sz w:val="30"/>
      <w:szCs w:val="20"/>
      <w:lang w:val="es-ES_tradnl" w:eastAsia="es-MX"/>
    </w:rPr>
  </w:style>
  <w:style w:type="paragraph" w:customStyle="1" w:styleId="textodenotaalfinal">
    <w:name w:val="texto de nota al final"/>
    <w:basedOn w:val="Normal"/>
    <w:rsid w:val="00AC64B3"/>
    <w:pPr>
      <w:spacing w:after="160" w:line="276" w:lineRule="atLeast"/>
    </w:pPr>
    <w:rPr>
      <w:rFonts w:ascii="CaAbria" w:hAnsi="CaAbria" w:cs="CaAbria"/>
      <w:sz w:val="20"/>
      <w:szCs w:val="20"/>
      <w:lang w:val="es-MX" w:eastAsia="es-MX"/>
    </w:rPr>
  </w:style>
  <w:style w:type="paragraph" w:customStyle="1" w:styleId="DocumentMap2">
    <w:name w:val="Document Map2"/>
    <w:basedOn w:val="Normal"/>
    <w:rsid w:val="00AC64B3"/>
    <w:pPr>
      <w:shd w:val="clear" w:color="auto" w:fill="000080"/>
      <w:spacing w:after="160" w:line="276" w:lineRule="atLeast"/>
    </w:pPr>
    <w:rPr>
      <w:rFonts w:ascii="TaAoma" w:hAnsi="TaAoma" w:cs="TaAoma"/>
      <w:sz w:val="20"/>
      <w:szCs w:val="20"/>
      <w:lang w:eastAsia="es-MX"/>
    </w:rPr>
  </w:style>
  <w:style w:type="paragraph" w:customStyle="1" w:styleId="corte2ponente">
    <w:name w:val="corte2 ponente"/>
    <w:basedOn w:val="Normal"/>
    <w:rsid w:val="00AC64B3"/>
    <w:pPr>
      <w:spacing w:after="160" w:line="276" w:lineRule="atLeast"/>
    </w:pPr>
    <w:rPr>
      <w:rFonts w:ascii="ArAal" w:hAnsi="ArAal" w:cs="ArAal"/>
      <w:b/>
      <w:caps/>
      <w:sz w:val="30"/>
      <w:szCs w:val="20"/>
      <w:lang w:val="es-ES_tradnl" w:eastAsia="es-MX"/>
    </w:rPr>
  </w:style>
  <w:style w:type="paragraph" w:customStyle="1" w:styleId="Estilo1x">
    <w:name w:val="Estilo1x"/>
    <w:basedOn w:val="Texto"/>
    <w:rsid w:val="00AC64B3"/>
    <w:pPr>
      <w:spacing w:before="20" w:after="20" w:line="240" w:lineRule="auto"/>
      <w:jc w:val="right"/>
    </w:pPr>
    <w:rPr>
      <w:rFonts w:ascii="ArAal" w:hAnsi="ArAal" w:cs="ArAal"/>
      <w:b/>
      <w:sz w:val="16"/>
      <w:lang w:val="es-MX" w:eastAsia="es-MX"/>
    </w:rPr>
  </w:style>
  <w:style w:type="paragraph" w:customStyle="1" w:styleId="Estilo1xx">
    <w:name w:val="Estilo1xx"/>
    <w:basedOn w:val="Texto"/>
    <w:rsid w:val="00AC64B3"/>
    <w:pPr>
      <w:spacing w:before="20" w:after="20" w:line="240" w:lineRule="auto"/>
      <w:ind w:left="144" w:firstLine="0"/>
    </w:pPr>
    <w:rPr>
      <w:rFonts w:ascii="ArAal" w:hAnsi="ArAal" w:cs="ArAal"/>
      <w:sz w:val="16"/>
      <w:lang w:eastAsia="es-MX"/>
    </w:rPr>
  </w:style>
  <w:style w:type="paragraph" w:customStyle="1" w:styleId="cb">
    <w:name w:val="cb"/>
    <w:basedOn w:val="Texto"/>
    <w:rsid w:val="00AC64B3"/>
    <w:pPr>
      <w:ind w:left="1008" w:hanging="720"/>
    </w:pPr>
    <w:rPr>
      <w:rFonts w:ascii="ArAal" w:hAnsi="ArAal" w:cs="ArAal"/>
      <w:b/>
      <w:lang w:val="es-ES_tradnl" w:eastAsia="es-MX"/>
    </w:rPr>
  </w:style>
  <w:style w:type="paragraph" w:customStyle="1" w:styleId="Anotacion0">
    <w:name w:val="Anotacion"/>
    <w:basedOn w:val="Normal"/>
    <w:rsid w:val="00AC64B3"/>
    <w:pPr>
      <w:spacing w:before="101" w:after="101" w:line="276" w:lineRule="atLeast"/>
      <w:jc w:val="center"/>
    </w:pPr>
    <w:rPr>
      <w:rFonts w:ascii="TiAes New Roman" w:hAnsi="TiAes New Roman" w:cs="TiAes New Roman"/>
      <w:b/>
      <w:sz w:val="18"/>
      <w:szCs w:val="20"/>
      <w:lang w:val="es-ES_tradnl" w:eastAsia="es-MX"/>
    </w:rPr>
  </w:style>
  <w:style w:type="paragraph" w:customStyle="1" w:styleId="cabeza0">
    <w:name w:val="cabeza"/>
    <w:basedOn w:val="Normal"/>
    <w:rsid w:val="00AC64B3"/>
    <w:pPr>
      <w:spacing w:after="160" w:line="276" w:lineRule="atLeast"/>
      <w:jc w:val="center"/>
    </w:pPr>
    <w:rPr>
      <w:rFonts w:ascii="TiAes New Roman" w:hAnsi="TiAes New Roman" w:cs="TiAes New Roman"/>
      <w:b/>
      <w:sz w:val="28"/>
      <w:szCs w:val="20"/>
      <w:lang w:eastAsia="es-MX"/>
    </w:rPr>
  </w:style>
  <w:style w:type="paragraph" w:customStyle="1" w:styleId="CM1">
    <w:name w:val="CM1"/>
    <w:basedOn w:val="Default"/>
    <w:next w:val="Default"/>
    <w:rsid w:val="00AC64B3"/>
    <w:pPr>
      <w:spacing w:after="160" w:line="333" w:lineRule="atLeast"/>
    </w:pPr>
    <w:rPr>
      <w:color w:val="auto"/>
    </w:rPr>
  </w:style>
  <w:style w:type="paragraph" w:customStyle="1" w:styleId="CM6">
    <w:name w:val="CM6"/>
    <w:basedOn w:val="Default"/>
    <w:next w:val="Default"/>
    <w:rsid w:val="00AC64B3"/>
    <w:pPr>
      <w:spacing w:after="160" w:line="276" w:lineRule="atLeast"/>
    </w:pPr>
    <w:rPr>
      <w:color w:val="auto"/>
    </w:rPr>
  </w:style>
  <w:style w:type="paragraph" w:customStyle="1" w:styleId="CM7">
    <w:name w:val="CM7"/>
    <w:basedOn w:val="Default"/>
    <w:next w:val="Default"/>
    <w:rsid w:val="00AC64B3"/>
    <w:pPr>
      <w:spacing w:after="160" w:line="276" w:lineRule="atLeast"/>
    </w:pPr>
    <w:rPr>
      <w:color w:val="auto"/>
    </w:rPr>
  </w:style>
  <w:style w:type="paragraph" w:customStyle="1" w:styleId="CM2">
    <w:name w:val="CM2"/>
    <w:basedOn w:val="Default"/>
    <w:next w:val="Default"/>
    <w:rsid w:val="00AC64B3"/>
    <w:pPr>
      <w:spacing w:after="160" w:line="288" w:lineRule="atLeast"/>
    </w:pPr>
    <w:rPr>
      <w:color w:val="auto"/>
    </w:rPr>
  </w:style>
  <w:style w:type="paragraph" w:customStyle="1" w:styleId="CM3">
    <w:name w:val="CM3"/>
    <w:basedOn w:val="Default"/>
    <w:next w:val="Default"/>
    <w:rsid w:val="00AC64B3"/>
    <w:pPr>
      <w:spacing w:after="160" w:line="291" w:lineRule="atLeast"/>
    </w:pPr>
    <w:rPr>
      <w:color w:val="auto"/>
    </w:rPr>
  </w:style>
  <w:style w:type="paragraph" w:customStyle="1" w:styleId="CM4">
    <w:name w:val="CM4"/>
    <w:basedOn w:val="Default"/>
    <w:next w:val="Default"/>
    <w:rsid w:val="00AC64B3"/>
    <w:pPr>
      <w:spacing w:after="160" w:line="293" w:lineRule="atLeast"/>
    </w:pPr>
    <w:rPr>
      <w:color w:val="auto"/>
    </w:rPr>
  </w:style>
  <w:style w:type="paragraph" w:customStyle="1" w:styleId="CM8">
    <w:name w:val="CM8"/>
    <w:basedOn w:val="Default"/>
    <w:next w:val="Default"/>
    <w:rsid w:val="00AC64B3"/>
    <w:pPr>
      <w:spacing w:after="160" w:line="276" w:lineRule="atLeast"/>
    </w:pPr>
    <w:rPr>
      <w:color w:val="auto"/>
    </w:rPr>
  </w:style>
  <w:style w:type="paragraph" w:customStyle="1" w:styleId="CM71">
    <w:name w:val="CM71"/>
    <w:basedOn w:val="Normal"/>
    <w:next w:val="Normal"/>
    <w:rsid w:val="00AC64B3"/>
    <w:pPr>
      <w:spacing w:after="160" w:line="276" w:lineRule="atLeast"/>
    </w:pPr>
    <w:rPr>
      <w:rFonts w:ascii="TiAes" w:hAnsi="TiAes" w:cs="TiAes"/>
      <w:sz w:val="21"/>
      <w:szCs w:val="20"/>
      <w:lang w:val="es-MX" w:eastAsia="es-MX"/>
    </w:rPr>
  </w:style>
  <w:style w:type="paragraph" w:customStyle="1" w:styleId="CM75">
    <w:name w:val="CM75"/>
    <w:basedOn w:val="Normal"/>
    <w:next w:val="Normal"/>
    <w:rsid w:val="00AC64B3"/>
    <w:pPr>
      <w:spacing w:after="160" w:line="276" w:lineRule="atLeast"/>
    </w:pPr>
    <w:rPr>
      <w:rFonts w:ascii="TiAes" w:hAnsi="TiAes" w:cs="TiAes"/>
      <w:sz w:val="21"/>
      <w:szCs w:val="20"/>
      <w:lang w:val="es-MX" w:eastAsia="es-MX"/>
    </w:rPr>
  </w:style>
  <w:style w:type="paragraph" w:customStyle="1" w:styleId="CM76">
    <w:name w:val="CM76"/>
    <w:basedOn w:val="Normal"/>
    <w:next w:val="Normal"/>
    <w:rsid w:val="00AC64B3"/>
    <w:pPr>
      <w:spacing w:after="160" w:line="276" w:lineRule="atLeast"/>
    </w:pPr>
    <w:rPr>
      <w:rFonts w:ascii="TiAes" w:hAnsi="TiAes" w:cs="TiAes"/>
      <w:sz w:val="21"/>
      <w:szCs w:val="20"/>
      <w:lang w:val="es-MX" w:eastAsia="es-MX"/>
    </w:rPr>
  </w:style>
  <w:style w:type="paragraph" w:customStyle="1" w:styleId="CM80">
    <w:name w:val="CM80"/>
    <w:basedOn w:val="Normal"/>
    <w:next w:val="Normal"/>
    <w:rsid w:val="00AC64B3"/>
    <w:pPr>
      <w:spacing w:after="160" w:line="276" w:lineRule="atLeast"/>
    </w:pPr>
    <w:rPr>
      <w:rFonts w:ascii="TiAes" w:hAnsi="TiAes" w:cs="TiAes"/>
      <w:sz w:val="21"/>
      <w:szCs w:val="20"/>
      <w:lang w:val="es-MX" w:eastAsia="es-MX"/>
    </w:rPr>
  </w:style>
  <w:style w:type="paragraph" w:customStyle="1" w:styleId="CM209">
    <w:name w:val="CM209"/>
    <w:basedOn w:val="Normal"/>
    <w:next w:val="Normal"/>
    <w:rsid w:val="00AC64B3"/>
    <w:pPr>
      <w:spacing w:after="160" w:line="276" w:lineRule="atLeast"/>
    </w:pPr>
    <w:rPr>
      <w:rFonts w:ascii="TiAes" w:hAnsi="TiAes" w:cs="TiAes"/>
      <w:sz w:val="21"/>
      <w:szCs w:val="20"/>
      <w:lang w:val="es-MX" w:eastAsia="es-MX"/>
    </w:rPr>
  </w:style>
  <w:style w:type="paragraph" w:customStyle="1" w:styleId="CM13">
    <w:name w:val="CM13"/>
    <w:basedOn w:val="Normal"/>
    <w:next w:val="Normal"/>
    <w:rsid w:val="00AC64B3"/>
    <w:pPr>
      <w:spacing w:after="160" w:line="313" w:lineRule="atLeast"/>
    </w:pPr>
    <w:rPr>
      <w:rFonts w:ascii="TiAes" w:hAnsi="TiAes" w:cs="TiAes"/>
      <w:sz w:val="21"/>
      <w:szCs w:val="20"/>
      <w:lang w:val="es-MX" w:eastAsia="es-MX"/>
    </w:rPr>
  </w:style>
  <w:style w:type="paragraph" w:customStyle="1" w:styleId="CM216">
    <w:name w:val="CM216"/>
    <w:basedOn w:val="Normal"/>
    <w:next w:val="Normal"/>
    <w:rsid w:val="00AC64B3"/>
    <w:pPr>
      <w:spacing w:after="160" w:line="276" w:lineRule="atLeast"/>
    </w:pPr>
    <w:rPr>
      <w:rFonts w:ascii="TiAes" w:hAnsi="TiAes" w:cs="TiAes"/>
      <w:sz w:val="21"/>
      <w:szCs w:val="20"/>
      <w:lang w:val="es-MX" w:eastAsia="es-MX"/>
    </w:rPr>
  </w:style>
  <w:style w:type="paragraph" w:customStyle="1" w:styleId="CM211">
    <w:name w:val="CM211"/>
    <w:basedOn w:val="Normal"/>
    <w:next w:val="Normal"/>
    <w:rsid w:val="00AC64B3"/>
    <w:pPr>
      <w:spacing w:after="160" w:line="276" w:lineRule="atLeast"/>
    </w:pPr>
    <w:rPr>
      <w:rFonts w:ascii="TiAes" w:hAnsi="TiAes" w:cs="TiAes"/>
      <w:sz w:val="21"/>
      <w:szCs w:val="20"/>
      <w:lang w:val="es-MX" w:eastAsia="es-MX"/>
    </w:rPr>
  </w:style>
  <w:style w:type="paragraph" w:customStyle="1" w:styleId="CM224">
    <w:name w:val="CM224"/>
    <w:basedOn w:val="Normal"/>
    <w:next w:val="Normal"/>
    <w:rsid w:val="00AC64B3"/>
    <w:pPr>
      <w:spacing w:after="160" w:line="276" w:lineRule="atLeast"/>
    </w:pPr>
    <w:rPr>
      <w:rFonts w:ascii="TiAes" w:hAnsi="TiAes" w:cs="TiAes"/>
      <w:sz w:val="21"/>
      <w:szCs w:val="20"/>
      <w:lang w:val="es-MX" w:eastAsia="es-MX"/>
    </w:rPr>
  </w:style>
  <w:style w:type="paragraph" w:customStyle="1" w:styleId="CM65">
    <w:name w:val="CM65"/>
    <w:basedOn w:val="Normal"/>
    <w:next w:val="Normal"/>
    <w:rsid w:val="00AC64B3"/>
    <w:pPr>
      <w:spacing w:after="160" w:line="313" w:lineRule="atLeast"/>
    </w:pPr>
    <w:rPr>
      <w:rFonts w:ascii="TiAes" w:hAnsi="TiAes" w:cs="TiAes"/>
      <w:sz w:val="21"/>
      <w:szCs w:val="20"/>
      <w:lang w:val="es-MX" w:eastAsia="es-MX"/>
    </w:rPr>
  </w:style>
  <w:style w:type="paragraph" w:customStyle="1" w:styleId="CM54">
    <w:name w:val="CM54"/>
    <w:basedOn w:val="Normal"/>
    <w:next w:val="Normal"/>
    <w:rsid w:val="00AC64B3"/>
    <w:pPr>
      <w:spacing w:after="160" w:line="316" w:lineRule="atLeast"/>
    </w:pPr>
    <w:rPr>
      <w:rFonts w:ascii="TiAes" w:hAnsi="TiAes" w:cs="TiAes"/>
      <w:sz w:val="21"/>
      <w:szCs w:val="20"/>
      <w:lang w:val="es-MX" w:eastAsia="es-MX"/>
    </w:rPr>
  </w:style>
  <w:style w:type="paragraph" w:customStyle="1" w:styleId="CM238">
    <w:name w:val="CM238"/>
    <w:basedOn w:val="Normal"/>
    <w:next w:val="Normal"/>
    <w:rsid w:val="00AC64B3"/>
    <w:pPr>
      <w:spacing w:after="160" w:line="276" w:lineRule="atLeast"/>
    </w:pPr>
    <w:rPr>
      <w:rFonts w:ascii="TiAes" w:hAnsi="TiAes" w:cs="TiAes"/>
      <w:sz w:val="21"/>
      <w:szCs w:val="20"/>
      <w:lang w:val="es-MX" w:eastAsia="es-MX"/>
    </w:rPr>
  </w:style>
  <w:style w:type="paragraph" w:customStyle="1" w:styleId="CM206">
    <w:name w:val="CM206"/>
    <w:basedOn w:val="Default"/>
    <w:next w:val="Default"/>
    <w:rsid w:val="00AC64B3"/>
    <w:pPr>
      <w:spacing w:after="160" w:line="276" w:lineRule="atLeast"/>
    </w:pPr>
    <w:rPr>
      <w:rFonts w:ascii="TiAes" w:hAnsi="TiAes" w:cs="TiAes"/>
      <w:color w:val="auto"/>
    </w:rPr>
  </w:style>
  <w:style w:type="paragraph" w:customStyle="1" w:styleId="CM100">
    <w:name w:val="CM100"/>
    <w:basedOn w:val="Default"/>
    <w:next w:val="Default"/>
    <w:rsid w:val="00AC64B3"/>
    <w:pPr>
      <w:spacing w:after="160" w:line="711" w:lineRule="atLeast"/>
    </w:pPr>
    <w:rPr>
      <w:rFonts w:ascii="TiAes" w:hAnsi="TiAes" w:cs="TiAes"/>
      <w:color w:val="auto"/>
    </w:rPr>
  </w:style>
  <w:style w:type="paragraph" w:customStyle="1" w:styleId="CM217">
    <w:name w:val="CM217"/>
    <w:basedOn w:val="Default"/>
    <w:next w:val="Default"/>
    <w:rsid w:val="00AC64B3"/>
    <w:pPr>
      <w:spacing w:after="160" w:line="276" w:lineRule="atLeast"/>
    </w:pPr>
    <w:rPr>
      <w:rFonts w:ascii="TiAes" w:hAnsi="TiAes" w:cs="TiAes"/>
      <w:color w:val="auto"/>
    </w:rPr>
  </w:style>
  <w:style w:type="paragraph" w:customStyle="1" w:styleId="CM219">
    <w:name w:val="CM219"/>
    <w:basedOn w:val="Default"/>
    <w:next w:val="Default"/>
    <w:rsid w:val="00AC64B3"/>
    <w:pPr>
      <w:spacing w:after="160" w:line="276" w:lineRule="atLeast"/>
    </w:pPr>
    <w:rPr>
      <w:rFonts w:ascii="TiAes" w:hAnsi="TiAes" w:cs="TiAes"/>
      <w:color w:val="auto"/>
    </w:rPr>
  </w:style>
  <w:style w:type="paragraph" w:customStyle="1" w:styleId="CM215">
    <w:name w:val="CM215"/>
    <w:basedOn w:val="Default"/>
    <w:next w:val="Default"/>
    <w:rsid w:val="00AC64B3"/>
    <w:pPr>
      <w:spacing w:after="160" w:line="276" w:lineRule="atLeast"/>
    </w:pPr>
    <w:rPr>
      <w:rFonts w:ascii="TiAes" w:hAnsi="TiAes" w:cs="TiAes"/>
      <w:color w:val="auto"/>
    </w:rPr>
  </w:style>
  <w:style w:type="paragraph" w:customStyle="1" w:styleId="CM101">
    <w:name w:val="CM101"/>
    <w:basedOn w:val="Default"/>
    <w:next w:val="Default"/>
    <w:rsid w:val="00AC64B3"/>
    <w:pPr>
      <w:spacing w:after="160" w:line="696" w:lineRule="atLeast"/>
    </w:pPr>
    <w:rPr>
      <w:rFonts w:ascii="TiAes" w:hAnsi="TiAes" w:cs="TiAes"/>
      <w:color w:val="auto"/>
    </w:rPr>
  </w:style>
  <w:style w:type="paragraph" w:customStyle="1" w:styleId="CM104">
    <w:name w:val="CM104"/>
    <w:basedOn w:val="Default"/>
    <w:next w:val="Default"/>
    <w:rsid w:val="00AC64B3"/>
    <w:pPr>
      <w:spacing w:after="160" w:line="276" w:lineRule="atLeast"/>
    </w:pPr>
    <w:rPr>
      <w:rFonts w:ascii="TiAes" w:hAnsi="TiAes" w:cs="TiAes"/>
      <w:color w:val="auto"/>
    </w:rPr>
  </w:style>
  <w:style w:type="paragraph" w:customStyle="1" w:styleId="CM105">
    <w:name w:val="CM105"/>
    <w:basedOn w:val="Default"/>
    <w:next w:val="Default"/>
    <w:rsid w:val="00AC64B3"/>
    <w:pPr>
      <w:spacing w:after="160" w:line="276" w:lineRule="atLeast"/>
    </w:pPr>
    <w:rPr>
      <w:rFonts w:ascii="TiAes" w:hAnsi="TiAes" w:cs="TiAes"/>
      <w:color w:val="auto"/>
    </w:rPr>
  </w:style>
  <w:style w:type="paragraph" w:customStyle="1" w:styleId="CM107">
    <w:name w:val="CM107"/>
    <w:basedOn w:val="Default"/>
    <w:next w:val="Default"/>
    <w:rsid w:val="00AC64B3"/>
    <w:pPr>
      <w:spacing w:after="160" w:line="276" w:lineRule="atLeast"/>
    </w:pPr>
    <w:rPr>
      <w:rFonts w:ascii="TiAes" w:hAnsi="TiAes" w:cs="TiAes"/>
      <w:color w:val="auto"/>
    </w:rPr>
  </w:style>
  <w:style w:type="paragraph" w:customStyle="1" w:styleId="CM166">
    <w:name w:val="CM166"/>
    <w:basedOn w:val="Default"/>
    <w:next w:val="Default"/>
    <w:rsid w:val="00AC64B3"/>
    <w:pPr>
      <w:spacing w:after="160" w:line="276" w:lineRule="atLeast"/>
    </w:pPr>
    <w:rPr>
      <w:rFonts w:ascii="TiAes" w:hAnsi="TiAes" w:cs="TiAes"/>
      <w:color w:val="auto"/>
    </w:rPr>
  </w:style>
  <w:style w:type="paragraph" w:customStyle="1" w:styleId="CM177">
    <w:name w:val="CM177"/>
    <w:basedOn w:val="Default"/>
    <w:next w:val="Default"/>
    <w:rsid w:val="00AC64B3"/>
    <w:pPr>
      <w:spacing w:after="160" w:line="276" w:lineRule="atLeast"/>
    </w:pPr>
    <w:rPr>
      <w:rFonts w:ascii="TiAes" w:hAnsi="TiAes" w:cs="TiAes"/>
      <w:color w:val="auto"/>
    </w:rPr>
  </w:style>
  <w:style w:type="paragraph" w:customStyle="1" w:styleId="CM167">
    <w:name w:val="CM167"/>
    <w:basedOn w:val="Default"/>
    <w:next w:val="Default"/>
    <w:rsid w:val="00AC64B3"/>
    <w:pPr>
      <w:spacing w:after="160" w:line="276" w:lineRule="atLeast"/>
    </w:pPr>
    <w:rPr>
      <w:rFonts w:ascii="TiAes" w:hAnsi="TiAes" w:cs="TiAes"/>
      <w:color w:val="auto"/>
    </w:rPr>
  </w:style>
  <w:style w:type="paragraph" w:customStyle="1" w:styleId="CM168">
    <w:name w:val="CM168"/>
    <w:basedOn w:val="Default"/>
    <w:next w:val="Default"/>
    <w:rsid w:val="00AC64B3"/>
    <w:pPr>
      <w:spacing w:after="160" w:line="276" w:lineRule="atLeast"/>
    </w:pPr>
    <w:rPr>
      <w:rFonts w:ascii="TiAes" w:hAnsi="TiAes" w:cs="TiAes"/>
      <w:color w:val="auto"/>
    </w:rPr>
  </w:style>
  <w:style w:type="paragraph" w:customStyle="1" w:styleId="CM171">
    <w:name w:val="CM171"/>
    <w:basedOn w:val="Default"/>
    <w:next w:val="Default"/>
    <w:rsid w:val="00AC64B3"/>
    <w:pPr>
      <w:spacing w:after="160" w:line="276" w:lineRule="atLeast"/>
    </w:pPr>
    <w:rPr>
      <w:rFonts w:ascii="TiAes" w:hAnsi="TiAes" w:cs="TiAes"/>
      <w:color w:val="auto"/>
    </w:rPr>
  </w:style>
  <w:style w:type="paragraph" w:customStyle="1" w:styleId="CM182">
    <w:name w:val="CM182"/>
    <w:basedOn w:val="Default"/>
    <w:next w:val="Default"/>
    <w:rsid w:val="00AC64B3"/>
    <w:pPr>
      <w:spacing w:after="160" w:line="276" w:lineRule="atLeast"/>
    </w:pPr>
    <w:rPr>
      <w:rFonts w:ascii="TiAes" w:hAnsi="TiAes" w:cs="TiAes"/>
      <w:color w:val="auto"/>
    </w:rPr>
  </w:style>
  <w:style w:type="paragraph" w:customStyle="1" w:styleId="CM198">
    <w:name w:val="CM198"/>
    <w:basedOn w:val="Default"/>
    <w:next w:val="Default"/>
    <w:rsid w:val="00AC64B3"/>
    <w:pPr>
      <w:spacing w:after="160" w:line="276" w:lineRule="atLeast"/>
    </w:pPr>
    <w:rPr>
      <w:rFonts w:ascii="TiAes" w:hAnsi="TiAes" w:cs="TiAes"/>
      <w:color w:val="auto"/>
    </w:rPr>
  </w:style>
  <w:style w:type="paragraph" w:customStyle="1" w:styleId="CM183">
    <w:name w:val="CM183"/>
    <w:basedOn w:val="Default"/>
    <w:next w:val="Default"/>
    <w:rsid w:val="00AC64B3"/>
    <w:pPr>
      <w:spacing w:after="160" w:line="276" w:lineRule="atLeast"/>
    </w:pPr>
    <w:rPr>
      <w:rFonts w:ascii="TiAes" w:hAnsi="TiAes" w:cs="TiAes"/>
      <w:color w:val="auto"/>
    </w:rPr>
  </w:style>
  <w:style w:type="paragraph" w:customStyle="1" w:styleId="CM207">
    <w:name w:val="CM207"/>
    <w:basedOn w:val="Default"/>
    <w:next w:val="Default"/>
    <w:rsid w:val="00AC64B3"/>
    <w:pPr>
      <w:spacing w:after="160" w:line="276" w:lineRule="atLeast"/>
    </w:pPr>
    <w:rPr>
      <w:rFonts w:ascii="TiAes" w:hAnsi="TiAes" w:cs="TiAes"/>
      <w:color w:val="auto"/>
    </w:rPr>
  </w:style>
  <w:style w:type="paragraph" w:customStyle="1" w:styleId="CM175">
    <w:name w:val="CM175"/>
    <w:basedOn w:val="Default"/>
    <w:next w:val="Default"/>
    <w:rsid w:val="00AC64B3"/>
    <w:pPr>
      <w:spacing w:after="160" w:line="276" w:lineRule="atLeast"/>
    </w:pPr>
    <w:rPr>
      <w:rFonts w:ascii="TiAes" w:hAnsi="TiAes" w:cs="TiAes"/>
      <w:color w:val="auto"/>
    </w:rPr>
  </w:style>
  <w:style w:type="paragraph" w:customStyle="1" w:styleId="CM9">
    <w:name w:val="CM9"/>
    <w:basedOn w:val="Default"/>
    <w:next w:val="Default"/>
    <w:rsid w:val="00AC64B3"/>
    <w:pPr>
      <w:spacing w:after="160" w:line="276" w:lineRule="atLeast"/>
    </w:pPr>
    <w:rPr>
      <w:rFonts w:ascii="TiAes" w:hAnsi="TiAes" w:cs="TiAes"/>
      <w:color w:val="auto"/>
    </w:rPr>
  </w:style>
  <w:style w:type="paragraph" w:customStyle="1" w:styleId="CM174">
    <w:name w:val="CM174"/>
    <w:basedOn w:val="Default"/>
    <w:next w:val="Default"/>
    <w:rsid w:val="00AC64B3"/>
    <w:pPr>
      <w:spacing w:after="160" w:line="276" w:lineRule="atLeast"/>
    </w:pPr>
    <w:rPr>
      <w:rFonts w:ascii="TiAes" w:hAnsi="TiAes" w:cs="TiAes"/>
      <w:color w:val="auto"/>
    </w:rPr>
  </w:style>
  <w:style w:type="paragraph" w:customStyle="1" w:styleId="CM185">
    <w:name w:val="CM185"/>
    <w:basedOn w:val="Default"/>
    <w:next w:val="Default"/>
    <w:rsid w:val="00AC64B3"/>
    <w:pPr>
      <w:spacing w:after="160" w:line="276" w:lineRule="atLeast"/>
    </w:pPr>
    <w:rPr>
      <w:rFonts w:ascii="TiAes" w:hAnsi="TiAes" w:cs="TiAes"/>
      <w:color w:val="auto"/>
    </w:rPr>
  </w:style>
  <w:style w:type="paragraph" w:customStyle="1" w:styleId="TableParagraph">
    <w:name w:val="Table Paragraph"/>
    <w:basedOn w:val="Normal"/>
    <w:rsid w:val="00AC64B3"/>
    <w:pPr>
      <w:spacing w:after="160" w:line="276" w:lineRule="atLeast"/>
    </w:pPr>
    <w:rPr>
      <w:rFonts w:ascii="ArAal" w:hAnsi="ArAal" w:cs="ArAal"/>
      <w:sz w:val="22"/>
      <w:szCs w:val="20"/>
      <w:lang w:val="es-MX" w:eastAsia="es-MX"/>
    </w:rPr>
  </w:style>
  <w:style w:type="paragraph" w:customStyle="1" w:styleId="s7">
    <w:name w:val="s7"/>
    <w:basedOn w:val="Normal"/>
    <w:rsid w:val="00AC64B3"/>
    <w:pPr>
      <w:spacing w:before="100" w:after="100" w:line="276" w:lineRule="atLeast"/>
    </w:pPr>
    <w:rPr>
      <w:rFonts w:ascii="TiAes New Roman" w:hAnsi="TiAes New Roman" w:cs="TiAes New Roman"/>
      <w:sz w:val="21"/>
      <w:szCs w:val="20"/>
      <w:lang w:val="es-MX" w:eastAsia="es-MX"/>
    </w:rPr>
  </w:style>
  <w:style w:type="paragraph" w:customStyle="1" w:styleId="TITULO10">
    <w:name w:val="TITULO1"/>
    <w:basedOn w:val="Normal"/>
    <w:rsid w:val="00AC64B3"/>
    <w:pPr>
      <w:pBdr>
        <w:bottom w:val="single" w:sz="12" w:space="1" w:color="auto"/>
      </w:pBdr>
      <w:spacing w:after="160" w:line="216" w:lineRule="exact"/>
      <w:jc w:val="both"/>
    </w:pPr>
    <w:rPr>
      <w:rFonts w:ascii="TiAes New Roman" w:hAnsi="TiAes New Roman" w:cs="TiAes New Roman"/>
      <w:b/>
      <w:sz w:val="18"/>
      <w:szCs w:val="20"/>
      <w:lang w:val="es-MX" w:eastAsia="es-MX"/>
    </w:rPr>
  </w:style>
  <w:style w:type="paragraph" w:customStyle="1" w:styleId="TEXTO1">
    <w:name w:val="TEXTO"/>
    <w:basedOn w:val="Normal"/>
    <w:rsid w:val="00AC64B3"/>
    <w:pPr>
      <w:spacing w:after="101" w:line="216" w:lineRule="exact"/>
      <w:ind w:firstLine="289"/>
      <w:jc w:val="both"/>
    </w:pPr>
    <w:rPr>
      <w:rFonts w:ascii="ArAal" w:hAnsi="ArAal" w:cs="ArAal"/>
      <w:sz w:val="18"/>
      <w:szCs w:val="20"/>
      <w:lang w:val="es-MX" w:eastAsia="es-MX"/>
    </w:rPr>
  </w:style>
  <w:style w:type="paragraph" w:customStyle="1" w:styleId="Footnote">
    <w:name w:val="Footnote"/>
    <w:basedOn w:val="normal2"/>
    <w:next w:val="normal2"/>
    <w:rsid w:val="00AC64B3"/>
    <w:pPr>
      <w:spacing w:before="0" w:after="0" w:line="240" w:lineRule="auto"/>
    </w:pPr>
    <w:rPr>
      <w:sz w:val="23"/>
    </w:rPr>
  </w:style>
  <w:style w:type="paragraph" w:customStyle="1" w:styleId="normal2">
    <w:name w:val="normal 2"/>
    <w:basedOn w:val="Normal"/>
    <w:next w:val="Footer"/>
    <w:rsid w:val="00AC64B3"/>
    <w:pPr>
      <w:spacing w:before="120" w:after="240" w:line="360" w:lineRule="atLeast"/>
      <w:jc w:val="both"/>
    </w:pPr>
    <w:rPr>
      <w:rFonts w:ascii="ArAal" w:hAnsi="ArAal" w:cs="ArAal"/>
      <w:sz w:val="28"/>
      <w:szCs w:val="20"/>
      <w:lang w:val="es-MX" w:eastAsia="es-MX"/>
    </w:rPr>
  </w:style>
  <w:style w:type="paragraph" w:customStyle="1" w:styleId="corte1datos">
    <w:name w:val="corte1 datos"/>
    <w:basedOn w:val="Normal"/>
    <w:rsid w:val="00AC64B3"/>
    <w:pPr>
      <w:spacing w:before="120" w:after="240" w:line="276" w:lineRule="atLeast"/>
      <w:ind w:left="2552"/>
    </w:pPr>
    <w:rPr>
      <w:rFonts w:ascii="ArAal" w:hAnsi="ArAal" w:cs="ArAal"/>
      <w:b/>
      <w:caps/>
      <w:sz w:val="30"/>
      <w:szCs w:val="20"/>
      <w:lang w:val="es-ES_tradnl" w:eastAsia="es-MX"/>
    </w:rPr>
  </w:style>
  <w:style w:type="paragraph" w:customStyle="1" w:styleId="corte4fondoCarCarCar">
    <w:name w:val="corte4 fondo Car Car Car"/>
    <w:basedOn w:val="Normal"/>
    <w:rsid w:val="00AC64B3"/>
    <w:pPr>
      <w:spacing w:before="120" w:after="240" w:line="360" w:lineRule="atLeast"/>
      <w:ind w:firstLine="709"/>
      <w:jc w:val="both"/>
    </w:pPr>
    <w:rPr>
      <w:rFonts w:ascii="ArAal" w:hAnsi="ArAal" w:cs="ArAal"/>
      <w:sz w:val="30"/>
      <w:szCs w:val="20"/>
      <w:lang w:val="es-ES_tradnl" w:eastAsia="es-MX"/>
    </w:rPr>
  </w:style>
  <w:style w:type="paragraph" w:customStyle="1" w:styleId="sentencia">
    <w:name w:val="sentencia"/>
    <w:basedOn w:val="corte4fondoCarCarCar"/>
    <w:rsid w:val="00AC64B3"/>
    <w:pPr>
      <w:spacing w:before="160" w:after="160"/>
    </w:pPr>
    <w:rPr>
      <w:sz w:val="28"/>
    </w:rPr>
  </w:style>
  <w:style w:type="paragraph" w:customStyle="1" w:styleId="RUBRO">
    <w:name w:val="RUBRO"/>
    <w:basedOn w:val="normal2"/>
    <w:rsid w:val="00AC64B3"/>
    <w:pPr>
      <w:spacing w:line="240" w:lineRule="auto"/>
    </w:pPr>
    <w:rPr>
      <w:b/>
    </w:rPr>
  </w:style>
  <w:style w:type="paragraph" w:customStyle="1" w:styleId="Prrato">
    <w:name w:val="Párrato"/>
    <w:basedOn w:val="Normal"/>
    <w:rsid w:val="00AC64B3"/>
    <w:pPr>
      <w:spacing w:before="120" w:after="240" w:line="360" w:lineRule="atLeast"/>
      <w:jc w:val="both"/>
    </w:pPr>
    <w:rPr>
      <w:rFonts w:ascii="ArAal" w:hAnsi="ArAal" w:cs="ArAal"/>
      <w:sz w:val="28"/>
      <w:szCs w:val="20"/>
      <w:lang w:val="es-ES_tradnl" w:eastAsia="es-MX"/>
    </w:rPr>
  </w:style>
  <w:style w:type="paragraph" w:customStyle="1" w:styleId="Estilo1">
    <w:name w:val="Estilo1"/>
    <w:basedOn w:val="corte4fondo"/>
    <w:rsid w:val="00AC64B3"/>
    <w:pPr>
      <w:tabs>
        <w:tab w:val="left" w:pos="360"/>
      </w:tabs>
      <w:spacing w:before="160"/>
      <w:ind w:hanging="567"/>
    </w:pPr>
    <w:rPr>
      <w:sz w:val="28"/>
      <w:lang w:val="es-MX"/>
    </w:rPr>
  </w:style>
  <w:style w:type="paragraph" w:customStyle="1" w:styleId="corte5transcripcion">
    <w:name w:val="corte5 transcripcion"/>
    <w:basedOn w:val="Normal"/>
    <w:rsid w:val="00AC64B3"/>
    <w:pPr>
      <w:spacing w:after="160" w:line="360" w:lineRule="atLeast"/>
      <w:ind w:left="709" w:right="709"/>
      <w:jc w:val="both"/>
    </w:pPr>
    <w:rPr>
      <w:rFonts w:ascii="ArAal" w:hAnsi="ArAal" w:cs="ArAal"/>
      <w:b/>
      <w:i/>
      <w:sz w:val="30"/>
      <w:szCs w:val="20"/>
      <w:lang w:val="es-MX" w:eastAsia="es-MX"/>
    </w:rPr>
  </w:style>
  <w:style w:type="paragraph" w:customStyle="1" w:styleId="corte5transcripcionCar">
    <w:name w:val="corte5 transcripcion Car"/>
    <w:basedOn w:val="Normal"/>
    <w:rsid w:val="00AC64B3"/>
    <w:pPr>
      <w:spacing w:after="160" w:line="360" w:lineRule="atLeast"/>
      <w:ind w:left="709" w:right="709"/>
      <w:jc w:val="both"/>
    </w:pPr>
    <w:rPr>
      <w:rFonts w:ascii="ArAal" w:hAnsi="ArAal" w:cs="ArAal"/>
      <w:b/>
      <w:i/>
      <w:sz w:val="30"/>
      <w:szCs w:val="20"/>
      <w:lang w:val="es-MX" w:eastAsia="es-MX"/>
    </w:rPr>
  </w:style>
  <w:style w:type="paragraph" w:customStyle="1" w:styleId="NOTASALPIE1">
    <w:name w:val="NOTAS AL PIE1"/>
    <w:basedOn w:val="Normal"/>
    <w:rsid w:val="00AC64B3"/>
    <w:pPr>
      <w:spacing w:after="160" w:line="276" w:lineRule="atLeast"/>
      <w:jc w:val="both"/>
    </w:pPr>
    <w:rPr>
      <w:rFonts w:ascii="ArAal" w:hAnsi="ArAal" w:cs="ArAal"/>
      <w:sz w:val="20"/>
      <w:szCs w:val="20"/>
      <w:lang w:val="es-MX" w:eastAsia="es-MX"/>
    </w:rPr>
  </w:style>
  <w:style w:type="paragraph" w:customStyle="1" w:styleId="Refdenotaalpie2">
    <w:name w:val="Ref. de nota al pie 2"/>
    <w:basedOn w:val="Normal"/>
    <w:rsid w:val="00AC64B3"/>
    <w:pPr>
      <w:spacing w:after="160" w:line="276" w:lineRule="atLeast"/>
      <w:jc w:val="both"/>
    </w:pPr>
    <w:rPr>
      <w:rFonts w:ascii="CaAibri" w:hAnsi="CaAibri" w:cs="CaAibri"/>
      <w:position w:val="11"/>
      <w:sz w:val="16"/>
      <w:szCs w:val="20"/>
      <w:lang w:val="es-MX" w:eastAsia="es-MX"/>
    </w:rPr>
  </w:style>
  <w:style w:type="paragraph" w:customStyle="1" w:styleId="corte4fondoCarCar">
    <w:name w:val="corte4 fondo Car Car"/>
    <w:basedOn w:val="Normal"/>
    <w:rsid w:val="00AC64B3"/>
    <w:pPr>
      <w:spacing w:after="160" w:line="360" w:lineRule="atLeast"/>
      <w:ind w:firstLine="709"/>
      <w:jc w:val="both"/>
    </w:pPr>
    <w:rPr>
      <w:rFonts w:ascii="ArAal" w:hAnsi="ArAal" w:cs="ArAal"/>
      <w:sz w:val="30"/>
      <w:szCs w:val="20"/>
      <w:lang w:val="es-ES_tradnl" w:eastAsia="es-MX"/>
    </w:rPr>
  </w:style>
  <w:style w:type="paragraph" w:customStyle="1" w:styleId="Listadevietas3">
    <w:name w:val="Lista de viñetas 3"/>
    <w:basedOn w:val="Normal"/>
    <w:rsid w:val="00AC64B3"/>
    <w:pPr>
      <w:tabs>
        <w:tab w:val="left" w:pos="360"/>
      </w:tabs>
      <w:spacing w:after="160" w:line="276" w:lineRule="atLeast"/>
      <w:ind w:left="360" w:hanging="360"/>
    </w:pPr>
    <w:rPr>
      <w:rFonts w:ascii="TiAes New Roman" w:hAnsi="TiAes New Roman" w:cs="TiAes New Roman"/>
      <w:sz w:val="20"/>
      <w:szCs w:val="20"/>
      <w:lang w:val="es-ES_tradnl" w:eastAsia="es-MX"/>
    </w:rPr>
  </w:style>
  <w:style w:type="paragraph" w:customStyle="1" w:styleId="TEXTONORMAL0">
    <w:name w:val="TEXTO NORMAL"/>
    <w:basedOn w:val="Normal"/>
    <w:rsid w:val="00AC64B3"/>
    <w:pPr>
      <w:spacing w:after="160" w:line="360" w:lineRule="atLeast"/>
      <w:ind w:firstLine="709"/>
      <w:jc w:val="both"/>
    </w:pPr>
    <w:rPr>
      <w:rFonts w:ascii="ArAal" w:hAnsi="ArAal" w:cs="ArAal"/>
      <w:sz w:val="28"/>
      <w:szCs w:val="20"/>
      <w:lang w:val="es-MX" w:eastAsia="es-MX"/>
    </w:rPr>
  </w:style>
  <w:style w:type="paragraph" w:customStyle="1" w:styleId="Asuntoypromovente">
    <w:name w:val="Asunto y promovente"/>
    <w:basedOn w:val="Normal"/>
    <w:rsid w:val="00AC64B3"/>
    <w:pPr>
      <w:spacing w:after="280" w:line="276" w:lineRule="atLeast"/>
      <w:ind w:left="2268"/>
      <w:jc w:val="both"/>
    </w:pPr>
    <w:rPr>
      <w:rFonts w:ascii="ArAal Negrita" w:hAnsi="ArAal Negrita" w:cs="ArAal Negrita"/>
      <w:b/>
      <w:caps/>
      <w:sz w:val="28"/>
      <w:szCs w:val="20"/>
      <w:lang w:eastAsia="es-MX"/>
    </w:rPr>
  </w:style>
  <w:style w:type="paragraph" w:customStyle="1" w:styleId="Normalnumerado">
    <w:name w:val="Normal numerado"/>
    <w:basedOn w:val="Normal"/>
    <w:rsid w:val="00AC64B3"/>
    <w:pPr>
      <w:spacing w:after="280" w:line="360" w:lineRule="atLeast"/>
      <w:ind w:hanging="851"/>
      <w:jc w:val="both"/>
    </w:pPr>
    <w:rPr>
      <w:rFonts w:ascii="ArAal" w:hAnsi="ArAal" w:cs="ArAal"/>
      <w:sz w:val="26"/>
      <w:szCs w:val="20"/>
      <w:lang w:val="es-MX" w:eastAsia="es-MX"/>
    </w:rPr>
  </w:style>
  <w:style w:type="paragraph" w:customStyle="1" w:styleId="Apartado">
    <w:name w:val="Apartado"/>
    <w:basedOn w:val="Normalnumerado"/>
    <w:rsid w:val="00AC64B3"/>
    <w:pPr>
      <w:spacing w:before="80" w:after="360"/>
      <w:ind w:firstLine="0"/>
      <w:jc w:val="center"/>
    </w:pPr>
    <w:rPr>
      <w:rFonts w:ascii="ArAal Negrita" w:hAnsi="ArAal Negrita" w:cs="ArAal Negrita"/>
      <w:b/>
      <w:caps/>
      <w:spacing w:val="10"/>
    </w:rPr>
  </w:style>
  <w:style w:type="paragraph" w:customStyle="1" w:styleId="TTULONDICE">
    <w:name w:val="TÍTULO ÍNDICE"/>
    <w:basedOn w:val="Apartado"/>
    <w:rsid w:val="00AC64B3"/>
    <w:rPr>
      <w:rFonts w:ascii="ArAal" w:hAnsi="ArAal" w:cs="ArAal"/>
    </w:rPr>
  </w:style>
  <w:style w:type="paragraph" w:styleId="List4">
    <w:name w:val="List 4"/>
    <w:basedOn w:val="Normal"/>
    <w:rsid w:val="00AC64B3"/>
    <w:pPr>
      <w:spacing w:before="120" w:after="240" w:line="360" w:lineRule="atLeast"/>
      <w:ind w:left="566" w:hanging="283"/>
      <w:jc w:val="both"/>
    </w:pPr>
    <w:rPr>
      <w:rFonts w:ascii="ArAal" w:hAnsi="ArAal" w:cs="ArAal"/>
      <w:sz w:val="28"/>
      <w:szCs w:val="20"/>
      <w:lang w:val="es-MX" w:eastAsia="es-MX"/>
    </w:rPr>
  </w:style>
  <w:style w:type="paragraph" w:styleId="List5">
    <w:name w:val="List 5"/>
    <w:basedOn w:val="Normal"/>
    <w:rsid w:val="00AC64B3"/>
    <w:pPr>
      <w:spacing w:before="120" w:after="240" w:line="360" w:lineRule="atLeast"/>
      <w:ind w:left="849" w:hanging="283"/>
      <w:jc w:val="both"/>
    </w:pPr>
    <w:rPr>
      <w:rFonts w:ascii="ArAal" w:hAnsi="ArAal" w:cs="ArAal"/>
      <w:sz w:val="28"/>
      <w:szCs w:val="20"/>
      <w:lang w:val="es-MX" w:eastAsia="es-MX"/>
    </w:rPr>
  </w:style>
  <w:style w:type="paragraph" w:customStyle="1" w:styleId="Listadevietas2">
    <w:name w:val="Lista de viñetas 2"/>
    <w:basedOn w:val="Normal"/>
    <w:rsid w:val="00AC64B3"/>
    <w:pPr>
      <w:spacing w:before="120" w:after="240" w:line="360" w:lineRule="atLeast"/>
      <w:ind w:left="1132" w:hanging="283"/>
      <w:jc w:val="both"/>
    </w:pPr>
    <w:rPr>
      <w:rFonts w:ascii="ArAal" w:hAnsi="ArAal" w:cs="ArAal"/>
      <w:sz w:val="28"/>
      <w:szCs w:val="20"/>
      <w:lang w:val="es-MX" w:eastAsia="es-MX"/>
    </w:rPr>
  </w:style>
  <w:style w:type="paragraph" w:customStyle="1" w:styleId="Listadevietas4">
    <w:name w:val="Lista de viñetas 4"/>
    <w:basedOn w:val="Normal"/>
    <w:rsid w:val="00AC64B3"/>
    <w:pPr>
      <w:tabs>
        <w:tab w:val="left" w:pos="643"/>
      </w:tabs>
      <w:spacing w:before="120" w:after="240" w:line="360" w:lineRule="atLeast"/>
      <w:ind w:left="643" w:hanging="360"/>
      <w:jc w:val="both"/>
    </w:pPr>
    <w:rPr>
      <w:rFonts w:ascii="ArAal" w:hAnsi="ArAal" w:cs="ArAal"/>
      <w:sz w:val="28"/>
      <w:szCs w:val="20"/>
      <w:lang w:val="es-MX" w:eastAsia="es-MX"/>
    </w:rPr>
  </w:style>
  <w:style w:type="paragraph" w:customStyle="1" w:styleId="Listacontinua3">
    <w:name w:val="Lista continua 3"/>
    <w:basedOn w:val="Normal"/>
    <w:rsid w:val="00AC64B3"/>
    <w:pPr>
      <w:spacing w:before="120" w:after="120" w:line="360" w:lineRule="atLeast"/>
      <w:ind w:left="283"/>
      <w:jc w:val="both"/>
    </w:pPr>
    <w:rPr>
      <w:rFonts w:ascii="ArAal" w:hAnsi="ArAal" w:cs="ArAal"/>
      <w:sz w:val="28"/>
      <w:szCs w:val="20"/>
      <w:lang w:val="es-MX" w:eastAsia="es-MX"/>
    </w:rPr>
  </w:style>
  <w:style w:type="paragraph" w:customStyle="1" w:styleId="Listacontinua4">
    <w:name w:val="Lista continua 4"/>
    <w:basedOn w:val="Normal"/>
    <w:rsid w:val="00AC64B3"/>
    <w:pPr>
      <w:spacing w:before="120" w:after="120" w:line="360" w:lineRule="atLeast"/>
      <w:ind w:left="566"/>
      <w:jc w:val="both"/>
    </w:pPr>
    <w:rPr>
      <w:rFonts w:ascii="ArAal" w:hAnsi="ArAal" w:cs="ArAal"/>
      <w:sz w:val="28"/>
      <w:szCs w:val="20"/>
      <w:lang w:val="es-MX" w:eastAsia="es-MX"/>
    </w:rPr>
  </w:style>
  <w:style w:type="paragraph" w:customStyle="1" w:styleId="BodyTextFirstIndent21">
    <w:name w:val="Body Text First Indent 21"/>
    <w:basedOn w:val="BodyText21"/>
    <w:rsid w:val="00AC64B3"/>
    <w:pPr>
      <w:spacing w:before="120" w:after="240" w:line="360" w:lineRule="atLeast"/>
      <w:ind w:left="360" w:firstLine="360"/>
    </w:pPr>
    <w:rPr>
      <w:b w:val="0"/>
      <w:sz w:val="28"/>
    </w:rPr>
  </w:style>
  <w:style w:type="paragraph" w:customStyle="1" w:styleId="TtulodeTDC1">
    <w:name w:val="Título de TDC1"/>
    <w:basedOn w:val="Heading1"/>
    <w:next w:val="Normal"/>
    <w:rsid w:val="00AC64B3"/>
    <w:pPr>
      <w:keepNext/>
      <w:keepLines/>
      <w:pBdr>
        <w:bottom w:val="single" w:sz="6" w:space="2" w:color="FFFF00"/>
        <w:between w:val="none" w:sz="0" w:space="0" w:color="auto"/>
      </w:pBdr>
      <w:spacing w:before="240" w:line="259" w:lineRule="atLeast"/>
      <w:jc w:val="left"/>
    </w:pPr>
    <w:rPr>
      <w:rFonts w:ascii="CaAibri Light" w:hAnsi="CaAibri Light" w:cs="CaAibri Light"/>
      <w:b w:val="0"/>
      <w:color w:val="00FFFF"/>
      <w:sz w:val="32"/>
      <w:szCs w:val="20"/>
      <w:lang w:val="es-MX" w:eastAsia="es-MX"/>
    </w:rPr>
  </w:style>
  <w:style w:type="paragraph" w:customStyle="1" w:styleId="paragraph">
    <w:name w:val="paragraph"/>
    <w:basedOn w:val="Normal"/>
    <w:rsid w:val="00AC64B3"/>
    <w:pPr>
      <w:spacing w:before="100" w:after="100" w:line="276" w:lineRule="atLeast"/>
    </w:pPr>
    <w:rPr>
      <w:rFonts w:ascii="TiAes New Roman" w:hAnsi="TiAes New Roman" w:cs="TiAes New Roman"/>
      <w:sz w:val="21"/>
      <w:szCs w:val="20"/>
      <w:lang w:val="es-MX" w:eastAsia="es-MX"/>
    </w:rPr>
  </w:style>
  <w:style w:type="paragraph" w:customStyle="1" w:styleId="BodyTextIndent22">
    <w:name w:val="Body Text Indent 22"/>
    <w:basedOn w:val="Normal"/>
    <w:rsid w:val="00AC64B3"/>
    <w:pPr>
      <w:spacing w:after="120" w:line="480" w:lineRule="atLeast"/>
      <w:ind w:left="283"/>
    </w:pPr>
    <w:rPr>
      <w:rFonts w:ascii="ApAos" w:hAnsi="ApAos" w:cs="ApAos"/>
      <w:sz w:val="21"/>
      <w:szCs w:val="20"/>
      <w:lang w:val="es-MX" w:eastAsia="es-MX"/>
    </w:rPr>
  </w:style>
  <w:style w:type="paragraph" w:customStyle="1" w:styleId="CERRAR">
    <w:name w:val="CERRAR"/>
    <w:basedOn w:val="Normal"/>
    <w:rsid w:val="00AC64B3"/>
    <w:pPr>
      <w:spacing w:after="29" w:line="187" w:lineRule="atLeast"/>
      <w:ind w:firstLine="288"/>
      <w:jc w:val="both"/>
    </w:pPr>
    <w:rPr>
      <w:rFonts w:ascii="ArAal" w:hAnsi="ArAal" w:cs="ArAal"/>
      <w:sz w:val="18"/>
      <w:szCs w:val="20"/>
      <w:lang w:val="es-ES_tradnl" w:eastAsia="es-MX"/>
    </w:rPr>
  </w:style>
  <w:style w:type="paragraph" w:customStyle="1" w:styleId="ABRIR">
    <w:name w:val="ABRIR"/>
    <w:basedOn w:val="Normal"/>
    <w:rsid w:val="00AC64B3"/>
    <w:pPr>
      <w:spacing w:after="120" w:line="240" w:lineRule="atLeast"/>
      <w:ind w:firstLine="288"/>
      <w:jc w:val="both"/>
    </w:pPr>
    <w:rPr>
      <w:rFonts w:ascii="ArAal" w:hAnsi="ArAal" w:cs="ArAal"/>
      <w:sz w:val="18"/>
      <w:szCs w:val="20"/>
      <w:lang w:val="es-ES_tradnl" w:eastAsia="es-MX"/>
    </w:rPr>
  </w:style>
  <w:style w:type="paragraph" w:customStyle="1" w:styleId="4x3">
    <w:name w:val="4x3"/>
    <w:basedOn w:val="texto0"/>
    <w:rsid w:val="00AC64B3"/>
    <w:pPr>
      <w:tabs>
        <w:tab w:val="left" w:pos="810"/>
        <w:tab w:val="left" w:pos="2430"/>
        <w:tab w:val="right" w:pos="4860"/>
        <w:tab w:val="left" w:pos="6390"/>
      </w:tabs>
      <w:spacing w:line="216" w:lineRule="atLeast"/>
    </w:pPr>
    <w:rPr>
      <w:lang w:val="es-ES_tradnl"/>
    </w:rPr>
  </w:style>
  <w:style w:type="paragraph" w:customStyle="1" w:styleId="registro">
    <w:name w:val="registro"/>
    <w:basedOn w:val="texto0"/>
    <w:rsid w:val="00AC64B3"/>
    <w:pPr>
      <w:spacing w:line="216" w:lineRule="atLeast"/>
      <w:jc w:val="right"/>
    </w:pPr>
    <w:rPr>
      <w:b/>
      <w:lang w:val="es-ES_tradnl"/>
    </w:rPr>
  </w:style>
  <w:style w:type="paragraph" w:customStyle="1" w:styleId="tab">
    <w:name w:val="tab"/>
    <w:basedOn w:val="Normal"/>
    <w:rsid w:val="00AC64B3"/>
    <w:pPr>
      <w:keepNext/>
      <w:keepLines/>
      <w:tabs>
        <w:tab w:val="right" w:leader="dot" w:pos="7470"/>
      </w:tabs>
      <w:spacing w:after="101" w:line="216" w:lineRule="atLeast"/>
      <w:ind w:right="-162" w:firstLine="720"/>
      <w:jc w:val="both"/>
    </w:pPr>
    <w:rPr>
      <w:rFonts w:ascii="ArAal" w:hAnsi="ArAal" w:cs="ArAal"/>
      <w:b/>
      <w:sz w:val="22"/>
      <w:szCs w:val="20"/>
      <w:lang w:val="es-ES_tradnl" w:eastAsia="es-MX"/>
    </w:rPr>
  </w:style>
  <w:style w:type="paragraph" w:customStyle="1" w:styleId="cetneg">
    <w:name w:val="cetneg"/>
    <w:basedOn w:val="texto0"/>
    <w:rsid w:val="00AC64B3"/>
    <w:pPr>
      <w:spacing w:line="216" w:lineRule="atLeast"/>
      <w:jc w:val="center"/>
    </w:pPr>
    <w:rPr>
      <w:b/>
      <w:lang w:val="es-ES_tradnl"/>
    </w:rPr>
  </w:style>
  <w:style w:type="paragraph" w:customStyle="1" w:styleId="FIRMA">
    <w:name w:val="FIRMA"/>
    <w:basedOn w:val="texto0"/>
    <w:rsid w:val="00AC64B3"/>
    <w:pPr>
      <w:tabs>
        <w:tab w:val="right" w:leader="dot" w:pos="8640"/>
      </w:tabs>
      <w:spacing w:line="216" w:lineRule="atLeast"/>
      <w:ind w:left="4320" w:firstLine="0"/>
    </w:pPr>
    <w:rPr>
      <w:lang w:val="es-ES_tradnl"/>
    </w:rPr>
  </w:style>
  <w:style w:type="paragraph" w:customStyle="1" w:styleId="FIRMA2">
    <w:name w:val="FIRMA2"/>
    <w:basedOn w:val="texto0"/>
    <w:rsid w:val="00AC64B3"/>
    <w:pPr>
      <w:tabs>
        <w:tab w:val="center" w:pos="6480"/>
      </w:tabs>
      <w:spacing w:line="216" w:lineRule="atLeast"/>
    </w:pPr>
    <w:rPr>
      <w:lang w:val="es-ES_tradnl"/>
    </w:rPr>
  </w:style>
  <w:style w:type="paragraph" w:customStyle="1" w:styleId="NOMBRE">
    <w:name w:val="NOMBRE"/>
    <w:basedOn w:val="texto0"/>
    <w:rsid w:val="00AC64B3"/>
    <w:pPr>
      <w:tabs>
        <w:tab w:val="right" w:leader="underscore" w:pos="8640"/>
      </w:tabs>
      <w:spacing w:line="216" w:lineRule="atLeast"/>
    </w:pPr>
    <w:rPr>
      <w:lang w:val="es-ES_tradnl"/>
    </w:rPr>
  </w:style>
  <w:style w:type="paragraph" w:customStyle="1" w:styleId="GRANPTOS">
    <w:name w:val="GRANPTOS"/>
    <w:basedOn w:val="NOMBRE"/>
    <w:rsid w:val="00AC64B3"/>
    <w:pPr>
      <w:tabs>
        <w:tab w:val="right" w:leader="dot" w:pos="8640"/>
      </w:tabs>
    </w:pPr>
  </w:style>
  <w:style w:type="paragraph" w:customStyle="1" w:styleId="tabla1">
    <w:name w:val="tabla 1"/>
    <w:basedOn w:val="texto0"/>
    <w:rsid w:val="00AC64B3"/>
    <w:pPr>
      <w:spacing w:line="216" w:lineRule="atLeast"/>
    </w:pPr>
    <w:rPr>
      <w:rFonts w:ascii="Helv" w:hAnsi="Helv" w:cs="Helv"/>
      <w:lang w:val="es-ES_tradnl"/>
    </w:rPr>
  </w:style>
  <w:style w:type="paragraph" w:customStyle="1" w:styleId="SRA">
    <w:name w:val="SRA"/>
    <w:basedOn w:val="ROMANOS"/>
    <w:rsid w:val="00AC64B3"/>
    <w:pPr>
      <w:tabs>
        <w:tab w:val="clear" w:pos="720"/>
      </w:tabs>
      <w:spacing w:line="216" w:lineRule="atLeast"/>
      <w:ind w:left="1440" w:hanging="1170"/>
    </w:pPr>
    <w:rPr>
      <w:rFonts w:ascii="Helv" w:hAnsi="Helv" w:cs="Helv"/>
      <w:szCs w:val="20"/>
      <w:lang w:val="es-ES_tradnl" w:eastAsia="es-MX"/>
    </w:rPr>
  </w:style>
  <w:style w:type="paragraph" w:customStyle="1" w:styleId="Profesin">
    <w:name w:val="Profesión"/>
    <w:basedOn w:val="Normal"/>
    <w:rsid w:val="00AC64B3"/>
    <w:pPr>
      <w:spacing w:after="160" w:line="276" w:lineRule="atLeast"/>
      <w:jc w:val="center"/>
    </w:pPr>
    <w:rPr>
      <w:rFonts w:ascii="ArAal" w:hAnsi="ArAal" w:cs="ArAal"/>
      <w:sz w:val="28"/>
      <w:szCs w:val="20"/>
      <w:lang w:val="es-MX" w:eastAsia="es-MX"/>
    </w:rPr>
  </w:style>
  <w:style w:type="paragraph" w:customStyle="1" w:styleId="BodyTextIndent21">
    <w:name w:val="Body Text Indent 21"/>
    <w:basedOn w:val="Normal"/>
    <w:rsid w:val="00AC64B3"/>
    <w:pPr>
      <w:spacing w:before="120" w:after="120" w:line="276" w:lineRule="atLeast"/>
      <w:ind w:left="709" w:hanging="349"/>
      <w:jc w:val="both"/>
    </w:pPr>
    <w:rPr>
      <w:rFonts w:ascii="ArAal" w:hAnsi="ArAal" w:cs="ArAal"/>
      <w:sz w:val="21"/>
      <w:szCs w:val="20"/>
      <w:lang w:eastAsia="es-MX"/>
    </w:rPr>
  </w:style>
  <w:style w:type="paragraph" w:customStyle="1" w:styleId="BodyText32">
    <w:name w:val="Body Text 32"/>
    <w:basedOn w:val="Normal"/>
    <w:rsid w:val="00AC64B3"/>
    <w:pPr>
      <w:spacing w:after="120" w:line="276" w:lineRule="atLeast"/>
    </w:pPr>
    <w:rPr>
      <w:rFonts w:ascii="ApAos" w:hAnsi="ApAos" w:cs="ApAos"/>
      <w:sz w:val="16"/>
      <w:szCs w:val="20"/>
      <w:lang w:val="es-MX" w:eastAsia="es-MX"/>
    </w:rPr>
  </w:style>
  <w:style w:type="paragraph" w:customStyle="1" w:styleId="CM18">
    <w:name w:val="CM18"/>
    <w:basedOn w:val="Default"/>
    <w:next w:val="Default"/>
    <w:rsid w:val="00AC64B3"/>
    <w:pPr>
      <w:spacing w:after="160" w:line="276" w:lineRule="atLeast"/>
    </w:pPr>
    <w:rPr>
      <w:color w:val="auto"/>
    </w:rPr>
  </w:style>
  <w:style w:type="paragraph" w:customStyle="1" w:styleId="CM14">
    <w:name w:val="CM14"/>
    <w:basedOn w:val="Default"/>
    <w:next w:val="Default"/>
    <w:rsid w:val="00AC64B3"/>
    <w:pPr>
      <w:spacing w:after="160" w:line="276" w:lineRule="atLeast"/>
    </w:pPr>
    <w:rPr>
      <w:color w:val="auto"/>
    </w:rPr>
  </w:style>
  <w:style w:type="paragraph" w:customStyle="1" w:styleId="CM17">
    <w:name w:val="CM17"/>
    <w:basedOn w:val="Default"/>
    <w:next w:val="Default"/>
    <w:rsid w:val="00AC64B3"/>
    <w:pPr>
      <w:spacing w:after="160" w:line="276" w:lineRule="atLeast"/>
    </w:pPr>
    <w:rPr>
      <w:color w:val="auto"/>
    </w:rPr>
  </w:style>
  <w:style w:type="paragraph" w:customStyle="1" w:styleId="CM19">
    <w:name w:val="CM19"/>
    <w:basedOn w:val="Default"/>
    <w:next w:val="Default"/>
    <w:rsid w:val="00AC64B3"/>
    <w:pPr>
      <w:spacing w:after="160" w:line="276" w:lineRule="atLeast"/>
    </w:pPr>
    <w:rPr>
      <w:color w:val="auto"/>
    </w:rPr>
  </w:style>
  <w:style w:type="paragraph" w:customStyle="1" w:styleId="CM11">
    <w:name w:val="CM11"/>
    <w:basedOn w:val="Default"/>
    <w:next w:val="Default"/>
    <w:rsid w:val="00AC64B3"/>
    <w:pPr>
      <w:spacing w:after="160" w:line="263" w:lineRule="atLeast"/>
    </w:pPr>
    <w:rPr>
      <w:color w:val="auto"/>
    </w:rPr>
  </w:style>
  <w:style w:type="paragraph" w:customStyle="1" w:styleId="western">
    <w:name w:val="western"/>
    <w:basedOn w:val="Normal"/>
    <w:rsid w:val="00AC64B3"/>
    <w:pPr>
      <w:spacing w:before="100" w:after="100" w:line="276" w:lineRule="atLeast"/>
    </w:pPr>
    <w:rPr>
      <w:rFonts w:ascii="ArAal Unicode MS" w:hAnsi="ArAal Unicode MS" w:cs="ArAal Unicode MS"/>
      <w:sz w:val="21"/>
      <w:szCs w:val="20"/>
      <w:lang w:eastAsia="es-MX"/>
    </w:rPr>
  </w:style>
  <w:style w:type="paragraph" w:customStyle="1" w:styleId="3">
    <w:name w:val="3"/>
    <w:basedOn w:val="texto0"/>
    <w:rsid w:val="00AC64B3"/>
    <w:pPr>
      <w:spacing w:line="216" w:lineRule="atLeast"/>
      <w:ind w:left="1530" w:hanging="360"/>
    </w:pPr>
    <w:rPr>
      <w:rFonts w:ascii="UnAvers" w:hAnsi="UnAvers" w:cs="UnAvers"/>
      <w:lang w:val="es-ES_tradnl"/>
    </w:rPr>
  </w:style>
  <w:style w:type="paragraph" w:customStyle="1" w:styleId="TitConv">
    <w:name w:val="TitConv"/>
    <w:basedOn w:val="Normal"/>
    <w:rsid w:val="00AC64B3"/>
    <w:pPr>
      <w:spacing w:after="160" w:line="240" w:lineRule="exact"/>
      <w:jc w:val="center"/>
    </w:pPr>
    <w:rPr>
      <w:rFonts w:ascii="ArAal" w:hAnsi="ArAal" w:cs="ArAal"/>
      <w:b/>
      <w:caps/>
      <w:spacing w:val="-5"/>
      <w:sz w:val="28"/>
      <w:szCs w:val="20"/>
      <w:lang w:eastAsia="es-MX"/>
    </w:rPr>
  </w:style>
  <w:style w:type="paragraph" w:customStyle="1" w:styleId="a1">
    <w:name w:val="a1"/>
    <w:basedOn w:val="Normal"/>
    <w:rsid w:val="00AC64B3"/>
    <w:pPr>
      <w:pBdr>
        <w:bottom w:val="single" w:sz="24" w:space="1" w:color="auto"/>
      </w:pBdr>
      <w:spacing w:after="160" w:line="240" w:lineRule="exact"/>
      <w:jc w:val="both"/>
    </w:pPr>
    <w:rPr>
      <w:rFonts w:ascii="ArAal" w:hAnsi="ArAal" w:cs="ArAal"/>
      <w:b/>
      <w:sz w:val="22"/>
      <w:szCs w:val="20"/>
      <w:lang w:val="es-MX" w:eastAsia="es-MX"/>
    </w:rPr>
  </w:style>
  <w:style w:type="paragraph" w:customStyle="1" w:styleId="a2">
    <w:name w:val="a2"/>
    <w:basedOn w:val="Normal"/>
    <w:rsid w:val="00AC64B3"/>
    <w:pPr>
      <w:spacing w:after="160" w:line="240" w:lineRule="exact"/>
      <w:jc w:val="center"/>
    </w:pPr>
    <w:rPr>
      <w:rFonts w:ascii="ArAal" w:hAnsi="ArAal" w:cs="ArAal"/>
      <w:b/>
      <w:sz w:val="28"/>
      <w:szCs w:val="20"/>
      <w:lang w:eastAsia="es-MX"/>
    </w:rPr>
  </w:style>
  <w:style w:type="paragraph" w:customStyle="1" w:styleId="titulodof">
    <w:name w:val="titulo_dof"/>
    <w:basedOn w:val="Normal"/>
    <w:next w:val="PlainText2"/>
    <w:rsid w:val="00AC64B3"/>
    <w:pPr>
      <w:spacing w:after="160" w:line="276" w:lineRule="atLeast"/>
      <w:jc w:val="center"/>
    </w:pPr>
    <w:rPr>
      <w:rFonts w:ascii="ArAal" w:hAnsi="ArAal" w:cs="ArAal"/>
      <w:b/>
      <w:sz w:val="28"/>
      <w:szCs w:val="20"/>
      <w:lang w:eastAsia="es-MX"/>
    </w:rPr>
  </w:style>
  <w:style w:type="paragraph" w:customStyle="1" w:styleId="tituloinciso">
    <w:name w:val="titulo_inciso"/>
    <w:basedOn w:val="titulodof"/>
    <w:rsid w:val="00AC64B3"/>
    <w:pPr>
      <w:pBdr>
        <w:bottom w:val="single" w:sz="24" w:space="1" w:color="auto"/>
      </w:pBdr>
      <w:jc w:val="both"/>
    </w:pPr>
    <w:rPr>
      <w:sz w:val="22"/>
    </w:rPr>
  </w:style>
  <w:style w:type="paragraph" w:customStyle="1" w:styleId="INCISOCar">
    <w:name w:val="INCISO Car"/>
    <w:basedOn w:val="Normal"/>
    <w:rsid w:val="00AC64B3"/>
    <w:pPr>
      <w:tabs>
        <w:tab w:val="left" w:pos="1080"/>
      </w:tabs>
      <w:spacing w:after="101" w:line="216" w:lineRule="exact"/>
      <w:ind w:left="1080" w:hanging="360"/>
      <w:jc w:val="both"/>
    </w:pPr>
    <w:rPr>
      <w:rFonts w:ascii="ArAal" w:hAnsi="ArAal" w:cs="ArAal"/>
      <w:sz w:val="18"/>
      <w:szCs w:val="20"/>
      <w:lang w:eastAsia="es-MX"/>
    </w:rPr>
  </w:style>
  <w:style w:type="paragraph" w:customStyle="1" w:styleId="INCISO2">
    <w:name w:val="INCISO2"/>
    <w:basedOn w:val="INCISOCar"/>
    <w:rsid w:val="00AC64B3"/>
    <w:pPr>
      <w:tabs>
        <w:tab w:val="clear" w:pos="1080"/>
        <w:tab w:val="left" w:pos="1260"/>
      </w:tabs>
      <w:spacing w:line="216" w:lineRule="atLeast"/>
      <w:ind w:left="1260" w:hanging="630"/>
    </w:pPr>
    <w:rPr>
      <w:lang w:val="es-ES_tradnl"/>
    </w:rPr>
  </w:style>
  <w:style w:type="paragraph" w:customStyle="1" w:styleId="ceneg">
    <w:name w:val="ceneg"/>
    <w:basedOn w:val="texto0"/>
    <w:rsid w:val="00AC64B3"/>
    <w:pPr>
      <w:spacing w:line="216" w:lineRule="atLeast"/>
      <w:ind w:firstLine="0"/>
      <w:jc w:val="center"/>
    </w:pPr>
    <w:rPr>
      <w:b/>
      <w:lang w:val="es-ES_tradnl"/>
    </w:rPr>
  </w:style>
  <w:style w:type="paragraph" w:customStyle="1" w:styleId="indi">
    <w:name w:val="indi"/>
    <w:basedOn w:val="Normal"/>
    <w:rsid w:val="00AC64B3"/>
    <w:pPr>
      <w:tabs>
        <w:tab w:val="right" w:pos="4230"/>
      </w:tabs>
      <w:spacing w:after="100" w:line="240" w:lineRule="exact"/>
      <w:ind w:firstLine="270"/>
      <w:jc w:val="both"/>
    </w:pPr>
    <w:rPr>
      <w:rFonts w:ascii="ArAal" w:hAnsi="ArAal" w:cs="ArAal"/>
      <w:sz w:val="18"/>
      <w:szCs w:val="20"/>
      <w:lang w:val="es-ES_tradnl" w:eastAsia="es-MX"/>
    </w:rPr>
  </w:style>
  <w:style w:type="paragraph" w:customStyle="1" w:styleId="ROMVI">
    <w:name w:val="ROMVIÑ"/>
    <w:basedOn w:val="ROMANOS"/>
    <w:rsid w:val="00AC64B3"/>
    <w:pPr>
      <w:tabs>
        <w:tab w:val="left" w:pos="1008"/>
      </w:tabs>
      <w:ind w:left="1008" w:hanging="360"/>
    </w:pPr>
    <w:rPr>
      <w:rFonts w:ascii="ArAal" w:hAnsi="ArAal" w:cs="ArAal"/>
      <w:szCs w:val="20"/>
      <w:lang w:eastAsia="es-MX"/>
    </w:rPr>
  </w:style>
  <w:style w:type="paragraph" w:customStyle="1" w:styleId="Reg">
    <w:name w:val="Reg"/>
    <w:basedOn w:val="registro"/>
    <w:rsid w:val="00AC64B3"/>
    <w:pPr>
      <w:spacing w:line="216" w:lineRule="exact"/>
    </w:pPr>
    <w:rPr>
      <w:lang w:val="es-ES"/>
    </w:rPr>
  </w:style>
  <w:style w:type="paragraph" w:customStyle="1" w:styleId="CEN">
    <w:name w:val="CEN"/>
    <w:rsid w:val="00AC64B3"/>
    <w:pPr>
      <w:spacing w:after="101" w:line="216" w:lineRule="atLeast"/>
      <w:jc w:val="center"/>
    </w:pPr>
    <w:rPr>
      <w:rFonts w:ascii="ArAal" w:hAnsi="ArAal" w:cs="ArAal"/>
      <w:sz w:val="18"/>
      <w:lang w:val="es-ES" w:eastAsia="es-MX"/>
    </w:rPr>
  </w:style>
  <w:style w:type="paragraph" w:customStyle="1" w:styleId="IN-1">
    <w:name w:val="IN-1"/>
    <w:basedOn w:val="ROMANOS"/>
    <w:next w:val="Normal"/>
    <w:rsid w:val="00AC64B3"/>
    <w:pPr>
      <w:tabs>
        <w:tab w:val="clear" w:pos="720"/>
        <w:tab w:val="left" w:pos="1800"/>
      </w:tabs>
      <w:ind w:left="1526"/>
    </w:pPr>
    <w:rPr>
      <w:rFonts w:ascii="ArAal" w:hAnsi="ArAal" w:cs="ArAal"/>
      <w:szCs w:val="20"/>
      <w:lang w:val="es-MX" w:eastAsia="es-MX"/>
    </w:rPr>
  </w:style>
  <w:style w:type="paragraph" w:customStyle="1" w:styleId="Capitulo">
    <w:name w:val="Capitulo"/>
    <w:basedOn w:val="Normal"/>
    <w:rsid w:val="00AC64B3"/>
    <w:pPr>
      <w:jc w:val="center"/>
    </w:pPr>
    <w:rPr>
      <w:rFonts w:ascii="NoAo Sans" w:hAnsi="NoAo Sans" w:cs="NoAo Sans"/>
      <w:b/>
      <w:szCs w:val="20"/>
      <w:lang w:val="es-ES_tradnl" w:eastAsia="es-MX"/>
    </w:rPr>
  </w:style>
  <w:style w:type="paragraph" w:customStyle="1" w:styleId="p1">
    <w:name w:val="p1"/>
    <w:basedOn w:val="Normal"/>
    <w:rsid w:val="00AC64B3"/>
    <w:rPr>
      <w:rFonts w:ascii="ArAal" w:hAnsi="ArAal" w:cs="ArAal"/>
      <w:color w:val="000000"/>
      <w:sz w:val="18"/>
      <w:szCs w:val="20"/>
      <w:lang w:val="es-MX" w:eastAsia="es-MX"/>
    </w:rPr>
  </w:style>
  <w:style w:type="paragraph" w:styleId="BalloonText">
    <w:name w:val="Balloon Text"/>
    <w:basedOn w:val="Normal"/>
    <w:link w:val="BalloonTextChar"/>
    <w:uiPriority w:val="99"/>
    <w:semiHidden/>
    <w:unhideWhenUsed/>
    <w:rsid w:val="000150F5"/>
    <w:rPr>
      <w:rFonts w:ascii="Segoe UI" w:hAnsi="Segoe UI" w:cs="Segoe UI"/>
      <w:sz w:val="18"/>
      <w:szCs w:val="18"/>
    </w:rPr>
  </w:style>
  <w:style w:type="character" w:customStyle="1" w:styleId="BalloonTextChar">
    <w:name w:val="Balloon Text Char"/>
    <w:link w:val="BalloonText"/>
    <w:uiPriority w:val="99"/>
    <w:semiHidden/>
    <w:rsid w:val="000150F5"/>
    <w:rPr>
      <w:rFonts w:ascii="Segoe UI" w:hAnsi="Segoe UI" w:cs="Segoe UI"/>
      <w:sz w:val="18"/>
      <w:szCs w:val="18"/>
      <w:lang w:val="es-ES" w:eastAsia="es-ES"/>
    </w:rPr>
  </w:style>
  <w:style w:type="table" w:styleId="TableGrid">
    <w:name w:val="Table Grid"/>
    <w:basedOn w:val="TableNormal"/>
    <w:uiPriority w:val="59"/>
    <w:rsid w:val="00D01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42D42"/>
    <w:rPr>
      <w:vertAlign w:val="superscript"/>
    </w:rPr>
  </w:style>
  <w:style w:type="character" w:styleId="Hyperlink">
    <w:name w:val="Hyperlink"/>
    <w:basedOn w:val="DefaultParagraphFont"/>
    <w:uiPriority w:val="99"/>
    <w:unhideWhenUsed/>
    <w:rsid w:val="00A86A62"/>
    <w:rPr>
      <w:color w:val="467886" w:themeColor="hyperlink"/>
      <w:u w:val="single"/>
    </w:rPr>
  </w:style>
  <w:style w:type="character" w:styleId="UnresolvedMention">
    <w:name w:val="Unresolved Mention"/>
    <w:basedOn w:val="DefaultParagraphFont"/>
    <w:uiPriority w:val="99"/>
    <w:semiHidden/>
    <w:unhideWhenUsed/>
    <w:rsid w:val="00A86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A83A7-3D01-47E8-BE4F-24F8FC24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15</TotalTime>
  <Pages>147</Pages>
  <Words>102241</Words>
  <Characters>562327</Characters>
  <Application>Microsoft Office Word</Application>
  <DocSecurity>0</DocSecurity>
  <Lines>14798</Lines>
  <Paragraphs>4315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REGULATION OF THE LAW OF THE HYDROCARBONS SECTOR</vt:lpstr>
      <vt:lpstr> </vt:lpstr>
    </vt:vector>
  </TitlesOfParts>
  <Company>Diario Oficial de la Federación</Company>
  <LinksUpToDate>false</LinksUpToDate>
  <CharactersWithSpaces>660253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LAW OF THE HYDROCARBONS SECTOR</dc:title>
  <dc:subject/>
  <dc:creator>TRANSLATED BY LIC GLENN LOUIS MCBRIDE</dc:creator>
  <cp:keywords/>
  <dc:description/>
  <cp:lastModifiedBy>GLENN MCBRIDE</cp:lastModifiedBy>
  <cp:revision>3</cp:revision>
  <cp:lastPrinted>2025-10-03T20:44:00Z</cp:lastPrinted>
  <dcterms:created xsi:type="dcterms:W3CDTF">2025-10-30T18:38:00Z</dcterms:created>
  <dcterms:modified xsi:type="dcterms:W3CDTF">2025-11-03T22:31:00Z</dcterms:modified>
</cp:coreProperties>
</file>